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7DBF" w14:textId="77777777" w:rsidR="00047905" w:rsidRPr="00A45D9D" w:rsidRDefault="00047905" w:rsidP="004217CE">
      <w:pPr>
        <w:pStyle w:val="NormalWeb"/>
        <w:spacing w:before="0" w:beforeAutospacing="0" w:after="0" w:afterAutospacing="0"/>
        <w:rPr>
          <w:rFonts w:ascii="Calibri" w:eastAsia="+mn-ea" w:hAnsi="Calibri" w:cs="+mn-cs"/>
          <w:b/>
          <w:bCs/>
          <w:color w:val="002060"/>
          <w:kern w:val="24"/>
          <w:sz w:val="6"/>
          <w:szCs w:val="18"/>
        </w:rPr>
      </w:pPr>
      <w:bookmarkStart w:id="0" w:name="_GoBack"/>
      <w:bookmarkEnd w:id="0"/>
    </w:p>
    <w:p w14:paraId="39B08ECC" w14:textId="77777777" w:rsidR="003D01B0" w:rsidRPr="003D01B0" w:rsidRDefault="005B2665" w:rsidP="003D01B0">
      <w:pPr>
        <w:pStyle w:val="ListParagraph"/>
        <w:widowControl/>
        <w:numPr>
          <w:ilvl w:val="0"/>
          <w:numId w:val="3"/>
        </w:numPr>
        <w:autoSpaceDE/>
        <w:autoSpaceDN/>
        <w:spacing w:after="200" w:line="276" w:lineRule="auto"/>
        <w:contextualSpacing/>
        <w:rPr>
          <w:rFonts w:asciiTheme="minorHAnsi" w:eastAsiaTheme="minorHAnsi" w:hAnsiTheme="minorHAnsi" w:cstheme="minorBidi"/>
        </w:rPr>
      </w:pPr>
      <w:r w:rsidRPr="005B2665">
        <w:rPr>
          <w:b/>
          <w:bCs/>
        </w:rPr>
        <w:t>Question:</w:t>
      </w:r>
      <w:r>
        <w:rPr>
          <w:rFonts w:asciiTheme="minorHAnsi" w:hAnsiTheme="minorHAnsi" w:cstheme="minorHAnsi"/>
          <w:b/>
          <w:bCs/>
        </w:rPr>
        <w:t xml:space="preserve"> </w:t>
      </w:r>
      <w:r w:rsidR="000D5740">
        <w:t xml:space="preserve">How was the amount of </w:t>
      </w:r>
      <w:proofErr w:type="spellStart"/>
      <w:r w:rsidR="000D5740">
        <w:t>remedesivir</w:t>
      </w:r>
      <w:proofErr w:type="spellEnd"/>
      <w:r w:rsidR="000D5740">
        <w:t xml:space="preserve"> per hospital determined for the first allotment from AmerisourceBergen?</w:t>
      </w:r>
    </w:p>
    <w:p w14:paraId="01B35FF0" w14:textId="77777777" w:rsidR="003D01B0" w:rsidRDefault="003D01B0" w:rsidP="003D01B0">
      <w:pPr>
        <w:pStyle w:val="ListParagraph"/>
        <w:widowControl/>
        <w:autoSpaceDE/>
        <w:autoSpaceDN/>
        <w:spacing w:after="200" w:line="276" w:lineRule="auto"/>
        <w:ind w:left="720"/>
        <w:contextualSpacing/>
        <w:rPr>
          <w:b/>
          <w:bCs/>
        </w:rPr>
      </w:pPr>
    </w:p>
    <w:p w14:paraId="5908557B" w14:textId="6EFAC172" w:rsidR="000D5740" w:rsidRDefault="003D01B0" w:rsidP="003D01B0">
      <w:pPr>
        <w:pStyle w:val="ListParagraph"/>
        <w:widowControl/>
        <w:autoSpaceDE/>
        <w:autoSpaceDN/>
        <w:spacing w:after="200" w:line="276" w:lineRule="auto"/>
        <w:ind w:left="720"/>
        <w:contextualSpacing/>
      </w:pPr>
      <w:r>
        <w:rPr>
          <w:b/>
          <w:bCs/>
        </w:rPr>
        <w:t xml:space="preserve">A: </w:t>
      </w:r>
      <w:r w:rsidR="000D5740">
        <w:t xml:space="preserve">Allocation was based on COVID cases entered into the </w:t>
      </w:r>
      <w:r w:rsidR="000F2B33">
        <w:t>HRTS COVID</w:t>
      </w:r>
      <w:r w:rsidR="000D5740">
        <w:t xml:space="preserve"> system on July 6</w:t>
      </w:r>
      <w:r w:rsidR="000D5740" w:rsidRPr="003D01B0">
        <w:rPr>
          <w:vertAlign w:val="superscript"/>
        </w:rPr>
        <w:t>th</w:t>
      </w:r>
      <w:r w:rsidR="000D5740">
        <w:t xml:space="preserve"> for the prior two weeks. HHS used that data to determine a distribution to each state department of health who in turn allotted vials to each hospital based on their cases. AmerisourceBergen </w:t>
      </w:r>
      <w:r w:rsidR="00EB0716">
        <w:t>Corporation (ABC)</w:t>
      </w:r>
      <w:r w:rsidR="000D5740">
        <w:t>was notified of the amount available for purchased by each hospital and has reached out to set up the invoicing and delivery of the product</w:t>
      </w:r>
    </w:p>
    <w:p w14:paraId="53631D11" w14:textId="77777777" w:rsidR="003D01B0" w:rsidRPr="003D01B0" w:rsidRDefault="003D01B0" w:rsidP="003D01B0">
      <w:pPr>
        <w:pStyle w:val="ListParagraph"/>
        <w:widowControl/>
        <w:autoSpaceDE/>
        <w:autoSpaceDN/>
        <w:spacing w:after="200" w:line="276" w:lineRule="auto"/>
        <w:ind w:left="720"/>
        <w:contextualSpacing/>
        <w:rPr>
          <w:rFonts w:asciiTheme="minorHAnsi" w:eastAsiaTheme="minorHAnsi" w:hAnsiTheme="minorHAnsi" w:cstheme="minorBidi"/>
        </w:rPr>
      </w:pPr>
    </w:p>
    <w:p w14:paraId="0938411E" w14:textId="64A6F838" w:rsidR="003D01B0" w:rsidRDefault="000D5740" w:rsidP="003D01B0">
      <w:pPr>
        <w:pStyle w:val="ListParagraph"/>
        <w:widowControl/>
        <w:numPr>
          <w:ilvl w:val="0"/>
          <w:numId w:val="3"/>
        </w:numPr>
        <w:autoSpaceDE/>
        <w:autoSpaceDN/>
        <w:spacing w:after="200" w:line="276" w:lineRule="auto"/>
        <w:contextualSpacing/>
      </w:pPr>
      <w:r w:rsidRPr="005B2665">
        <w:rPr>
          <w:b/>
          <w:bCs/>
        </w:rPr>
        <w:t>Question:</w:t>
      </w:r>
      <w:r>
        <w:rPr>
          <w:rFonts w:asciiTheme="minorHAnsi" w:hAnsiTheme="minorHAnsi" w:cstheme="minorHAnsi"/>
          <w:b/>
          <w:bCs/>
        </w:rPr>
        <w:t xml:space="preserve"> </w:t>
      </w:r>
      <w:r>
        <w:t>Going forward, how are future allocations to hospitals determined?</w:t>
      </w:r>
    </w:p>
    <w:p w14:paraId="748D6C95" w14:textId="77777777" w:rsidR="003D01B0" w:rsidRDefault="003D01B0" w:rsidP="003D01B0">
      <w:pPr>
        <w:pStyle w:val="ListParagraph"/>
        <w:widowControl/>
        <w:autoSpaceDE/>
        <w:autoSpaceDN/>
        <w:spacing w:after="200" w:line="276" w:lineRule="auto"/>
        <w:ind w:left="720"/>
        <w:contextualSpacing/>
      </w:pPr>
    </w:p>
    <w:p w14:paraId="17A15B81" w14:textId="4227EAEC" w:rsidR="000D5740" w:rsidRDefault="003D01B0" w:rsidP="003D01B0">
      <w:pPr>
        <w:pStyle w:val="ListParagraph"/>
        <w:widowControl/>
        <w:autoSpaceDE/>
        <w:autoSpaceDN/>
        <w:spacing w:after="200" w:line="276" w:lineRule="auto"/>
        <w:ind w:left="720"/>
        <w:contextualSpacing/>
      </w:pPr>
      <w:r>
        <w:rPr>
          <w:b/>
          <w:bCs/>
        </w:rPr>
        <w:t>A:</w:t>
      </w:r>
      <w:r>
        <w:t xml:space="preserve"> </w:t>
      </w:r>
      <w:r w:rsidR="000D5740">
        <w:t xml:space="preserve">HHS will pull data from their reporting system each Wednesday for the prior week to determine the next purchase allocation. States will then allocate the amounts for each hospital based on the prior week cases. </w:t>
      </w:r>
    </w:p>
    <w:p w14:paraId="35BC9829" w14:textId="77777777" w:rsidR="003D01B0" w:rsidRDefault="003D01B0" w:rsidP="003D01B0">
      <w:pPr>
        <w:pStyle w:val="ListParagraph"/>
        <w:widowControl/>
        <w:autoSpaceDE/>
        <w:autoSpaceDN/>
        <w:spacing w:after="200" w:line="276" w:lineRule="auto"/>
        <w:ind w:left="720"/>
        <w:contextualSpacing/>
      </w:pPr>
    </w:p>
    <w:p w14:paraId="44B7C8AC" w14:textId="6FADAA90" w:rsidR="003D01B0" w:rsidRDefault="000D5740" w:rsidP="003D01B0">
      <w:pPr>
        <w:pStyle w:val="ListParagraph"/>
        <w:widowControl/>
        <w:numPr>
          <w:ilvl w:val="0"/>
          <w:numId w:val="3"/>
        </w:numPr>
        <w:autoSpaceDE/>
        <w:autoSpaceDN/>
        <w:spacing w:after="200" w:line="276" w:lineRule="auto"/>
        <w:contextualSpacing/>
      </w:pPr>
      <w:r w:rsidRPr="005B2665">
        <w:rPr>
          <w:b/>
          <w:bCs/>
        </w:rPr>
        <w:t>Question:</w:t>
      </w:r>
      <w:r>
        <w:rPr>
          <w:rFonts w:asciiTheme="minorHAnsi" w:hAnsiTheme="minorHAnsi" w:cstheme="minorHAnsi"/>
          <w:b/>
          <w:bCs/>
        </w:rPr>
        <w:t xml:space="preserve"> </w:t>
      </w:r>
      <w:r>
        <w:t xml:space="preserve">Do hospitals have to enter their </w:t>
      </w:r>
      <w:proofErr w:type="spellStart"/>
      <w:r>
        <w:t>remdesivir</w:t>
      </w:r>
      <w:proofErr w:type="spellEnd"/>
      <w:r>
        <w:t xml:space="preserve"> data into the HHS </w:t>
      </w:r>
      <w:proofErr w:type="spellStart"/>
      <w:r>
        <w:t>Teletracking</w:t>
      </w:r>
      <w:proofErr w:type="spellEnd"/>
      <w:r>
        <w:t xml:space="preserve"> system?</w:t>
      </w:r>
    </w:p>
    <w:p w14:paraId="74755982" w14:textId="77777777" w:rsidR="003D01B0" w:rsidRDefault="003D01B0" w:rsidP="003D01B0">
      <w:pPr>
        <w:pStyle w:val="ListParagraph"/>
        <w:widowControl/>
        <w:autoSpaceDE/>
        <w:autoSpaceDN/>
        <w:spacing w:after="200" w:line="276" w:lineRule="auto"/>
        <w:ind w:left="720"/>
        <w:contextualSpacing/>
      </w:pPr>
    </w:p>
    <w:p w14:paraId="4B30A63E" w14:textId="54F7D287" w:rsidR="000D5740" w:rsidRDefault="003D01B0" w:rsidP="003D01B0">
      <w:pPr>
        <w:pStyle w:val="ListParagraph"/>
        <w:widowControl/>
        <w:autoSpaceDE/>
        <w:autoSpaceDN/>
        <w:spacing w:after="200" w:line="276" w:lineRule="auto"/>
        <w:ind w:left="720"/>
        <w:contextualSpacing/>
      </w:pPr>
      <w:r>
        <w:rPr>
          <w:b/>
          <w:bCs/>
        </w:rPr>
        <w:t>A:</w:t>
      </w:r>
      <w:r>
        <w:t xml:space="preserve"> </w:t>
      </w:r>
      <w:r w:rsidR="000D5740">
        <w:t xml:space="preserve">No, TDH has added the required data fields to the state HRTS system. Hospitals need to enter their data each day in the state HRTS system and TDH will upload the data to HHS on hospital’s behalf. Pharmacists should identify who is responsible for HRTS data entry at their facility and coordinate providing the </w:t>
      </w:r>
      <w:proofErr w:type="spellStart"/>
      <w:r w:rsidR="000D5740">
        <w:t>remedesivir</w:t>
      </w:r>
      <w:proofErr w:type="spellEnd"/>
      <w:r w:rsidR="000D5740">
        <w:t xml:space="preserve"> information.</w:t>
      </w:r>
    </w:p>
    <w:p w14:paraId="42545A16" w14:textId="77777777" w:rsidR="003D01B0" w:rsidRDefault="003D01B0" w:rsidP="003D01B0">
      <w:pPr>
        <w:pStyle w:val="ListParagraph"/>
        <w:widowControl/>
        <w:autoSpaceDE/>
        <w:autoSpaceDN/>
        <w:spacing w:after="200" w:line="276" w:lineRule="auto"/>
        <w:ind w:left="720"/>
        <w:contextualSpacing/>
      </w:pPr>
    </w:p>
    <w:p w14:paraId="4899BE36" w14:textId="68EE1422" w:rsidR="000D5740" w:rsidRDefault="000D5740" w:rsidP="003D01B0">
      <w:pPr>
        <w:pStyle w:val="ListParagraph"/>
        <w:widowControl/>
        <w:numPr>
          <w:ilvl w:val="0"/>
          <w:numId w:val="3"/>
        </w:numPr>
        <w:autoSpaceDE/>
        <w:autoSpaceDN/>
        <w:contextualSpacing/>
      </w:pPr>
      <w:r w:rsidRPr="005B2665">
        <w:rPr>
          <w:b/>
          <w:bCs/>
        </w:rPr>
        <w:t>Question:</w:t>
      </w:r>
      <w:r>
        <w:rPr>
          <w:rFonts w:asciiTheme="minorHAnsi" w:hAnsiTheme="minorHAnsi" w:cstheme="minorHAnsi"/>
          <w:b/>
          <w:bCs/>
        </w:rPr>
        <w:t xml:space="preserve"> </w:t>
      </w:r>
      <w:r w:rsidR="003D01B0">
        <w:t xml:space="preserve">If a healthcare system has product at one hospital and another hospital in the same system that has never had a need for </w:t>
      </w:r>
      <w:proofErr w:type="spellStart"/>
      <w:r w:rsidR="003D01B0">
        <w:t>remdesivir</w:t>
      </w:r>
      <w:proofErr w:type="spellEnd"/>
      <w:r w:rsidR="003D01B0">
        <w:t xml:space="preserve"> suddenly has a patient that meets criteria, is the hospital system allowed to shift product from one hospital to another within the hospital system or should it remain only at the hospital for which it was purchased?</w:t>
      </w:r>
    </w:p>
    <w:p w14:paraId="10874C5F" w14:textId="77777777" w:rsidR="003D01B0" w:rsidRDefault="003D01B0" w:rsidP="003D01B0">
      <w:pPr>
        <w:pStyle w:val="ListParagraph"/>
        <w:widowControl/>
        <w:autoSpaceDE/>
        <w:autoSpaceDN/>
        <w:ind w:left="720"/>
        <w:contextualSpacing/>
      </w:pPr>
    </w:p>
    <w:p w14:paraId="1AF3B0F2" w14:textId="77777777" w:rsidR="003D01B0" w:rsidRDefault="003D01B0" w:rsidP="003D01B0">
      <w:pPr>
        <w:pStyle w:val="ListParagraph"/>
        <w:ind w:left="720"/>
      </w:pPr>
      <w:r>
        <w:rPr>
          <w:b/>
          <w:bCs/>
        </w:rPr>
        <w:t>A:</w:t>
      </w:r>
      <w:r>
        <w:t xml:space="preserve"> The hospital system may shift product to another hospital within the same system when necessary due to a COVID patient admission needing treatment.</w:t>
      </w:r>
    </w:p>
    <w:p w14:paraId="07558172" w14:textId="77777777" w:rsidR="000D5740" w:rsidRDefault="000D5740" w:rsidP="000D5740"/>
    <w:p w14:paraId="4EFDF1E3" w14:textId="24DC13BF" w:rsidR="000D5740" w:rsidRDefault="000D5740" w:rsidP="003D01B0">
      <w:pPr>
        <w:pStyle w:val="ListParagraph"/>
        <w:widowControl/>
        <w:numPr>
          <w:ilvl w:val="0"/>
          <w:numId w:val="3"/>
        </w:numPr>
        <w:autoSpaceDE/>
        <w:autoSpaceDN/>
        <w:contextualSpacing/>
      </w:pPr>
      <w:r w:rsidRPr="003D01B0">
        <w:rPr>
          <w:b/>
          <w:bCs/>
        </w:rPr>
        <w:t>Question:</w:t>
      </w:r>
      <w:r w:rsidRPr="003D01B0">
        <w:rPr>
          <w:rFonts w:asciiTheme="minorHAnsi" w:hAnsiTheme="minorHAnsi" w:cstheme="minorHAnsi"/>
          <w:b/>
          <w:bCs/>
        </w:rPr>
        <w:t xml:space="preserve"> </w:t>
      </w:r>
      <w:r w:rsidR="003D01B0">
        <w:t>What if the allocation for a facility seems small compared to a rapid increase in patients meeting criteria?  Is there an appeal process or a point person to contact and explain the situation? Does the TDH retain any supply for this type of need?</w:t>
      </w:r>
    </w:p>
    <w:p w14:paraId="29EE5E6E" w14:textId="77777777" w:rsidR="00EB0716" w:rsidRDefault="00EB0716" w:rsidP="00EB0716">
      <w:pPr>
        <w:pStyle w:val="ListParagraph"/>
        <w:widowControl/>
        <w:autoSpaceDE/>
        <w:autoSpaceDN/>
        <w:ind w:left="720"/>
        <w:contextualSpacing/>
      </w:pPr>
    </w:p>
    <w:p w14:paraId="3752986D" w14:textId="77777777" w:rsidR="003D01B0" w:rsidRDefault="003D01B0" w:rsidP="003D01B0">
      <w:pPr>
        <w:pStyle w:val="ListParagraph"/>
        <w:ind w:left="720"/>
      </w:pPr>
      <w:r>
        <w:rPr>
          <w:b/>
          <w:bCs/>
        </w:rPr>
        <w:t>A:</w:t>
      </w:r>
      <w:r>
        <w:t xml:space="preserve"> A facility that needs more medication for a rapid increase in patients and immediate need should attempt to borrow from a larger facility within their geographical region. Entering the accurate patient numbers daily should allow future allocations to increase with increase in patient load.</w:t>
      </w:r>
    </w:p>
    <w:p w14:paraId="30CBB965" w14:textId="15AF2515" w:rsidR="003D01B0" w:rsidRDefault="003D01B0" w:rsidP="003D01B0">
      <w:pPr>
        <w:pStyle w:val="ListParagraph"/>
        <w:ind w:left="720"/>
      </w:pPr>
      <w:r>
        <w:t xml:space="preserve">If there is difficulty in acquiring adequate medication by borrowing, the TDH will assist with </w:t>
      </w:r>
      <w:proofErr w:type="gramStart"/>
      <w:r>
        <w:t>making arrangements</w:t>
      </w:r>
      <w:proofErr w:type="gramEnd"/>
      <w:r>
        <w:t xml:space="preserve"> for medication. Email </w:t>
      </w:r>
      <w:hyperlink r:id="rId8" w:history="1">
        <w:r w:rsidRPr="006227F0">
          <w:rPr>
            <w:rStyle w:val="Hyperlink"/>
          </w:rPr>
          <w:t>Calita.Richards@tn.gov</w:t>
        </w:r>
      </w:hyperlink>
      <w:r>
        <w:t>.</w:t>
      </w:r>
    </w:p>
    <w:p w14:paraId="2BD944BD" w14:textId="492ECD3E" w:rsidR="00E860F4" w:rsidRDefault="00E860F4" w:rsidP="003D01B0">
      <w:pPr>
        <w:pStyle w:val="ListParagraph"/>
        <w:ind w:left="720"/>
      </w:pPr>
    </w:p>
    <w:p w14:paraId="2384A169" w14:textId="5C17C881" w:rsidR="00E860F4" w:rsidRDefault="00E860F4" w:rsidP="00E860F4">
      <w:pPr>
        <w:pStyle w:val="ListParagraph"/>
        <w:numPr>
          <w:ilvl w:val="0"/>
          <w:numId w:val="3"/>
        </w:numPr>
      </w:pPr>
      <w:bookmarkStart w:id="1" w:name="_Hlk46132134"/>
      <w:r w:rsidRPr="003D01B0">
        <w:rPr>
          <w:b/>
          <w:bCs/>
        </w:rPr>
        <w:t>Question:</w:t>
      </w:r>
      <w:r>
        <w:t xml:space="preserve"> </w:t>
      </w:r>
      <w:bookmarkEnd w:id="1"/>
      <w:r>
        <w:t>What will be the allocation for my facility?</w:t>
      </w:r>
    </w:p>
    <w:p w14:paraId="1773F221" w14:textId="77777777" w:rsidR="00E860F4" w:rsidRDefault="00E860F4" w:rsidP="00E860F4">
      <w:pPr>
        <w:pStyle w:val="ListParagraph"/>
        <w:ind w:left="720"/>
      </w:pPr>
    </w:p>
    <w:p w14:paraId="68612EE6" w14:textId="6FCD1C32" w:rsidR="00E860F4" w:rsidRDefault="00E860F4" w:rsidP="00E860F4">
      <w:pPr>
        <w:pStyle w:val="ListParagraph"/>
        <w:ind w:left="720"/>
      </w:pPr>
      <w:r>
        <w:rPr>
          <w:b/>
          <w:bCs/>
        </w:rPr>
        <w:t>A:</w:t>
      </w:r>
      <w:r>
        <w:t xml:space="preserve"> Each of the total State allocations will be determined from HHS reviewing the daily data entries of the Tennessee facilities. The State will then allocate based on the daily data entry of all the facilities at the time of each allocation.</w:t>
      </w:r>
    </w:p>
    <w:p w14:paraId="33FFC381" w14:textId="39155B8F" w:rsidR="00B979E1" w:rsidRDefault="00B979E1" w:rsidP="00B979E1"/>
    <w:p w14:paraId="172B92C5" w14:textId="27A79C8A" w:rsidR="007C6051" w:rsidRDefault="00B979E1" w:rsidP="007C6051">
      <w:pPr>
        <w:pStyle w:val="ListParagraph"/>
        <w:numPr>
          <w:ilvl w:val="0"/>
          <w:numId w:val="3"/>
        </w:numPr>
      </w:pPr>
      <w:r w:rsidRPr="00E13E58">
        <w:rPr>
          <w:b/>
          <w:bCs/>
        </w:rPr>
        <w:t>Question:</w:t>
      </w:r>
      <w:r>
        <w:t xml:space="preserve"> </w:t>
      </w:r>
      <w:r w:rsidR="00E13E58">
        <w:t xml:space="preserve">For the daily reporting, “# of </w:t>
      </w:r>
      <w:proofErr w:type="spellStart"/>
      <w:r w:rsidR="00E13E58">
        <w:t>remdesivir</w:t>
      </w:r>
      <w:proofErr w:type="spellEnd"/>
      <w:r w:rsidR="00E13E58">
        <w:t xml:space="preserve"> vials as of 11:59 pm </w:t>
      </w:r>
      <w:r w:rsidR="007C6051">
        <w:t xml:space="preserve">yesterday”, is this a count of all </w:t>
      </w:r>
      <w:proofErr w:type="spellStart"/>
      <w:r w:rsidR="007C6051">
        <w:lastRenderedPageBreak/>
        <w:t>remdesivir</w:t>
      </w:r>
      <w:proofErr w:type="spellEnd"/>
      <w:r w:rsidR="007C6051">
        <w:t xml:space="preserve"> vials, or should vials planned to complete initiated treatment no be included in the count?</w:t>
      </w:r>
    </w:p>
    <w:p w14:paraId="642D32C5" w14:textId="77777777" w:rsidR="00A26882" w:rsidRDefault="00A26882" w:rsidP="00A26882">
      <w:pPr>
        <w:pStyle w:val="ListParagraph"/>
        <w:ind w:left="720"/>
      </w:pPr>
    </w:p>
    <w:p w14:paraId="75967230" w14:textId="77777777" w:rsidR="00A26882" w:rsidRDefault="00A26882" w:rsidP="00A26882">
      <w:pPr>
        <w:pStyle w:val="ListParagraph"/>
        <w:ind w:left="720"/>
      </w:pPr>
      <w:r>
        <w:rPr>
          <w:b/>
          <w:bCs/>
        </w:rPr>
        <w:t>A:</w:t>
      </w:r>
      <w:r>
        <w:t xml:space="preserve"> This should be inventory of all vials, including vials planned to complete initiated treatment.</w:t>
      </w:r>
    </w:p>
    <w:p w14:paraId="0CD313D5" w14:textId="77777777" w:rsidR="00A26882" w:rsidRDefault="00A26882" w:rsidP="00A26882">
      <w:pPr>
        <w:pStyle w:val="ListParagraph"/>
        <w:ind w:left="720"/>
      </w:pPr>
    </w:p>
    <w:p w14:paraId="0EC5A5F6" w14:textId="5437E049" w:rsidR="00A26882" w:rsidRPr="00A26882" w:rsidRDefault="00A26882" w:rsidP="00A26882">
      <w:pPr>
        <w:pStyle w:val="ListParagraph"/>
        <w:numPr>
          <w:ilvl w:val="0"/>
          <w:numId w:val="3"/>
        </w:numPr>
        <w:rPr>
          <w:b/>
          <w:bCs/>
        </w:rPr>
      </w:pPr>
      <w:r w:rsidRPr="00A26882">
        <w:rPr>
          <w:b/>
          <w:bCs/>
        </w:rPr>
        <w:t>Question:</w:t>
      </w:r>
      <w:r>
        <w:t xml:space="preserve"> If a site within an organization has a facility in an adjacent state that needs more </w:t>
      </w:r>
      <w:proofErr w:type="spellStart"/>
      <w:r>
        <w:t>remdesivir</w:t>
      </w:r>
      <w:proofErr w:type="spellEnd"/>
      <w:r>
        <w:t>, may the facility with stock transfer their product out of state?</w:t>
      </w:r>
    </w:p>
    <w:p w14:paraId="7EA42EA0" w14:textId="77777777" w:rsidR="00A26882" w:rsidRPr="00A26882" w:rsidRDefault="00A26882" w:rsidP="00A26882">
      <w:pPr>
        <w:pStyle w:val="ListParagraph"/>
        <w:ind w:left="720"/>
        <w:rPr>
          <w:b/>
          <w:bCs/>
        </w:rPr>
      </w:pPr>
    </w:p>
    <w:p w14:paraId="60834694" w14:textId="39D40332" w:rsidR="00A26882" w:rsidRPr="00A26882" w:rsidRDefault="00A26882" w:rsidP="00A26882">
      <w:pPr>
        <w:pStyle w:val="ListParagraph"/>
        <w:ind w:left="720"/>
      </w:pPr>
      <w:r>
        <w:rPr>
          <w:b/>
          <w:bCs/>
        </w:rPr>
        <w:t>A:</w:t>
      </w:r>
      <w:r>
        <w:t xml:space="preserve"> No. Allocations to each site are from the HHS allocation to </w:t>
      </w:r>
      <w:r w:rsidR="00F93C61">
        <w:t xml:space="preserve">the State of </w:t>
      </w:r>
      <w:r>
        <w:t xml:space="preserve">Tennessee. Shifting product to another state would decrease available product for facilities within the state that need the product. If a site does not need an allocation and refuses the purchase when called by </w:t>
      </w:r>
      <w:r w:rsidR="00EB0716">
        <w:t>ABC</w:t>
      </w:r>
      <w:r>
        <w:t xml:space="preserve">. An email should be sent to </w:t>
      </w:r>
      <w:hyperlink r:id="rId9" w:history="1">
        <w:r w:rsidRPr="009335ED">
          <w:rPr>
            <w:rStyle w:val="Hyperlink"/>
          </w:rPr>
          <w:t>Calita.Richards@tn.gov</w:t>
        </w:r>
      </w:hyperlink>
      <w:r>
        <w:t xml:space="preserve"> to notify the TDH of this refusal, so that product may be immediately reallocated to a site in need.</w:t>
      </w:r>
    </w:p>
    <w:p w14:paraId="0AB4EDD3" w14:textId="77777777" w:rsidR="007C6051" w:rsidRPr="007C6051" w:rsidRDefault="007C6051" w:rsidP="007C6051">
      <w:pPr>
        <w:pStyle w:val="ListParagraph"/>
        <w:ind w:left="720"/>
      </w:pPr>
    </w:p>
    <w:p w14:paraId="24313F55" w14:textId="77777777" w:rsidR="00A26882" w:rsidRDefault="00A26882" w:rsidP="00A26882"/>
    <w:p w14:paraId="13DF4E37" w14:textId="77777777" w:rsidR="00C40AEF" w:rsidRDefault="00C40AEF" w:rsidP="00C40AEF">
      <w:pPr>
        <w:pStyle w:val="ListParagraph"/>
        <w:ind w:left="720"/>
      </w:pPr>
    </w:p>
    <w:p w14:paraId="713E2910" w14:textId="214FD0BD" w:rsidR="00AF7B40" w:rsidRPr="007C6051" w:rsidRDefault="00AF7B40" w:rsidP="007C6051">
      <w:pPr>
        <w:widowControl/>
        <w:autoSpaceDE/>
        <w:autoSpaceDN/>
        <w:rPr>
          <w:rFonts w:ascii="Calibri" w:eastAsia="+mn-ea" w:hAnsi="Calibri" w:cs="+mn-cs"/>
          <w:b/>
          <w:bCs/>
          <w:color w:val="002060"/>
          <w:kern w:val="24"/>
          <w:sz w:val="14"/>
        </w:rPr>
      </w:pPr>
    </w:p>
    <w:p w14:paraId="6074E9FA" w14:textId="532C9ADE" w:rsidR="00C67F45" w:rsidRDefault="002B5908" w:rsidP="00C67F45">
      <w:pPr>
        <w:pStyle w:val="NormalWeb"/>
        <w:spacing w:before="0" w:beforeAutospacing="0" w:after="0" w:afterAutospacing="0"/>
        <w:rPr>
          <w:rFonts w:ascii="Calibri" w:eastAsia="+mn-ea" w:hAnsi="Calibri" w:cs="+mn-cs"/>
          <w:b/>
          <w:bCs/>
          <w:color w:val="002060"/>
          <w:kern w:val="24"/>
          <w:sz w:val="36"/>
          <w:szCs w:val="38"/>
        </w:rPr>
      </w:pPr>
      <w:r w:rsidRPr="002535CE">
        <w:rPr>
          <w:rFonts w:ascii="Calibri" w:eastAsia="+mn-ea" w:hAnsi="Calibri" w:cs="+mn-cs"/>
          <w:b/>
          <w:bCs/>
          <w:color w:val="002060"/>
          <w:kern w:val="24"/>
          <w:sz w:val="36"/>
          <w:szCs w:val="38"/>
        </w:rPr>
        <w:t>Contacts</w:t>
      </w:r>
    </w:p>
    <w:p w14:paraId="13D543F2" w14:textId="53AE277A" w:rsidR="006271D8" w:rsidRPr="00AF7B40" w:rsidRDefault="00AF7B40" w:rsidP="00C67F4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               </w:t>
      </w:r>
      <w:r w:rsidR="00903434" w:rsidRPr="00AF7B40">
        <w:rPr>
          <w:rFonts w:asciiTheme="minorHAnsi" w:hAnsiTheme="minorHAnsi" w:cstheme="minorHAnsi"/>
          <w:b/>
          <w:bCs/>
          <w:sz w:val="22"/>
          <w:szCs w:val="22"/>
        </w:rPr>
        <w:t>TDH Contacts:</w:t>
      </w:r>
      <w:r w:rsidR="00903434" w:rsidRPr="00AF7B40">
        <w:rPr>
          <w:rFonts w:asciiTheme="minorHAnsi" w:hAnsiTheme="minorHAnsi" w:cstheme="minorHAnsi"/>
          <w:sz w:val="22"/>
          <w:szCs w:val="22"/>
        </w:rPr>
        <w:t xml:space="preserve"> </w:t>
      </w:r>
      <w:r w:rsidRPr="00AF7B40">
        <w:rPr>
          <w:rFonts w:asciiTheme="minorHAnsi" w:hAnsiTheme="minorHAnsi" w:cstheme="minorHAnsi"/>
          <w:sz w:val="22"/>
          <w:szCs w:val="22"/>
        </w:rPr>
        <w:t xml:space="preserve">Calita Richards </w:t>
      </w:r>
      <w:hyperlink r:id="rId10" w:history="1">
        <w:r w:rsidR="001E0382" w:rsidRPr="00546BD9">
          <w:rPr>
            <w:rStyle w:val="Hyperlink"/>
            <w:rFonts w:asciiTheme="minorHAnsi" w:hAnsiTheme="minorHAnsi" w:cstheme="minorHAnsi"/>
            <w:sz w:val="22"/>
            <w:szCs w:val="22"/>
          </w:rPr>
          <w:t>Calita.Richards@tn.gov</w:t>
        </w:r>
      </w:hyperlink>
      <w:r w:rsidRPr="00AF7B40">
        <w:rPr>
          <w:rStyle w:val="Hyperlink"/>
          <w:rFonts w:asciiTheme="minorHAnsi" w:hAnsiTheme="minorHAnsi" w:cstheme="minorHAnsi"/>
          <w:sz w:val="22"/>
          <w:szCs w:val="22"/>
          <w:u w:val="none"/>
        </w:rPr>
        <w:t xml:space="preserve"> </w:t>
      </w:r>
      <w:r w:rsidRPr="00AF7B40">
        <w:rPr>
          <w:sz w:val="22"/>
          <w:szCs w:val="22"/>
        </w:rPr>
        <w:t>and</w:t>
      </w:r>
      <w:r w:rsidRPr="00AF7B40">
        <w:rPr>
          <w:rStyle w:val="Hyperlink"/>
          <w:rFonts w:asciiTheme="minorHAnsi" w:hAnsiTheme="minorHAnsi" w:cstheme="minorHAnsi"/>
          <w:sz w:val="22"/>
          <w:szCs w:val="22"/>
          <w:u w:val="none"/>
        </w:rPr>
        <w:t xml:space="preserve"> </w:t>
      </w:r>
      <w:r w:rsidR="00903434" w:rsidRPr="00AF7B40">
        <w:rPr>
          <w:rFonts w:asciiTheme="minorHAnsi" w:hAnsiTheme="minorHAnsi" w:cstheme="minorHAnsi"/>
          <w:sz w:val="22"/>
          <w:szCs w:val="22"/>
        </w:rPr>
        <w:t xml:space="preserve">Paul Petersen </w:t>
      </w:r>
      <w:hyperlink r:id="rId11" w:history="1">
        <w:r w:rsidR="001E0382" w:rsidRPr="00546BD9">
          <w:rPr>
            <w:rStyle w:val="Hyperlink"/>
            <w:rFonts w:asciiTheme="minorHAnsi" w:hAnsiTheme="minorHAnsi" w:cstheme="minorHAnsi"/>
            <w:sz w:val="22"/>
            <w:szCs w:val="22"/>
          </w:rPr>
          <w:t>Paul.Petersen@tn.gov</w:t>
        </w:r>
      </w:hyperlink>
    </w:p>
    <w:p w14:paraId="2C256C78" w14:textId="5D14519F" w:rsidR="002B5908" w:rsidRPr="00AF7B40" w:rsidRDefault="00AF7B40" w:rsidP="00C67F4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               </w:t>
      </w:r>
      <w:r w:rsidR="006271D8" w:rsidRPr="00AF7B40">
        <w:rPr>
          <w:rFonts w:asciiTheme="minorHAnsi" w:hAnsiTheme="minorHAnsi" w:cstheme="minorHAnsi"/>
          <w:b/>
          <w:bCs/>
          <w:sz w:val="22"/>
          <w:szCs w:val="22"/>
        </w:rPr>
        <w:t>THA Contact</w:t>
      </w:r>
      <w:r w:rsidR="00903434" w:rsidRPr="00AF7B40">
        <w:rPr>
          <w:rFonts w:asciiTheme="minorHAnsi" w:hAnsiTheme="minorHAnsi" w:cstheme="minorHAnsi"/>
          <w:b/>
          <w:bCs/>
          <w:sz w:val="22"/>
          <w:szCs w:val="22"/>
        </w:rPr>
        <w:t>:</w:t>
      </w:r>
      <w:r w:rsidR="00903434" w:rsidRPr="00AF7B40">
        <w:rPr>
          <w:rFonts w:asciiTheme="minorHAnsi" w:hAnsiTheme="minorHAnsi" w:cstheme="minorHAnsi"/>
          <w:sz w:val="22"/>
          <w:szCs w:val="22"/>
        </w:rPr>
        <w:t xml:space="preserve"> Chris Clarke </w:t>
      </w:r>
      <w:hyperlink r:id="rId12" w:history="1">
        <w:r w:rsidR="00903434" w:rsidRPr="00AF7B40">
          <w:rPr>
            <w:rStyle w:val="Hyperlink"/>
            <w:rFonts w:asciiTheme="minorHAnsi" w:hAnsiTheme="minorHAnsi" w:cstheme="minorHAnsi"/>
            <w:sz w:val="22"/>
            <w:szCs w:val="22"/>
          </w:rPr>
          <w:t>cclarke@tha.com</w:t>
        </w:r>
      </w:hyperlink>
    </w:p>
    <w:sectPr w:rsidR="002B5908" w:rsidRPr="00AF7B40" w:rsidSect="0099611C">
      <w:headerReference w:type="default" r:id="rId13"/>
      <w:footerReference w:type="default" r:id="rId14"/>
      <w:type w:val="continuous"/>
      <w:pgSz w:w="12240" w:h="15840" w:code="1"/>
      <w:pgMar w:top="2016" w:right="630" w:bottom="274" w:left="63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390E" w14:textId="77777777" w:rsidR="002721C3" w:rsidRDefault="002721C3" w:rsidP="004217CE">
      <w:r>
        <w:separator/>
      </w:r>
    </w:p>
  </w:endnote>
  <w:endnote w:type="continuationSeparator" w:id="0">
    <w:p w14:paraId="0C48072B" w14:textId="77777777" w:rsidR="002721C3" w:rsidRDefault="002721C3" w:rsidP="004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064419"/>
      <w:docPartObj>
        <w:docPartGallery w:val="Page Numbers (Bottom of Page)"/>
        <w:docPartUnique/>
      </w:docPartObj>
    </w:sdtPr>
    <w:sdtEndPr>
      <w:rPr>
        <w:noProof/>
      </w:rPr>
    </w:sdtEndPr>
    <w:sdtContent>
      <w:p w14:paraId="55421ED5" w14:textId="445B415C" w:rsidR="00EB0716" w:rsidRDefault="00EB0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129DF" w14:textId="77777777" w:rsidR="00EB0716" w:rsidRDefault="00EB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BB51" w14:textId="77777777" w:rsidR="002721C3" w:rsidRDefault="002721C3" w:rsidP="004217CE">
      <w:r>
        <w:separator/>
      </w:r>
    </w:p>
  </w:footnote>
  <w:footnote w:type="continuationSeparator" w:id="0">
    <w:p w14:paraId="18B856DC" w14:textId="77777777" w:rsidR="002721C3" w:rsidRDefault="002721C3" w:rsidP="004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06FE" w14:textId="61D53C95" w:rsidR="004217CE" w:rsidRDefault="00473BB5">
    <w:pPr>
      <w:pStyle w:val="Header"/>
    </w:pPr>
    <w:r>
      <w:rPr>
        <w:noProof/>
      </w:rPr>
      <mc:AlternateContent>
        <mc:Choice Requires="wps">
          <w:drawing>
            <wp:anchor distT="0" distB="0" distL="114300" distR="114300" simplePos="0" relativeHeight="251658240" behindDoc="0" locked="0" layoutInCell="1" allowOverlap="1" wp14:anchorId="01E20F87" wp14:editId="0816BDC9">
              <wp:simplePos x="0" y="0"/>
              <wp:positionH relativeFrom="margin">
                <wp:posOffset>1568450</wp:posOffset>
              </wp:positionH>
              <wp:positionV relativeFrom="paragraph">
                <wp:posOffset>127000</wp:posOffset>
              </wp:positionV>
              <wp:extent cx="5403850" cy="7366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36600"/>
                      </a:xfrm>
                      <a:prstGeom prst="rect">
                        <a:avLst/>
                      </a:prstGeom>
                      <a:noFill/>
                      <a:ln w="9525">
                        <a:noFill/>
                        <a:miter lim="800000"/>
                        <a:headEnd/>
                        <a:tailEnd/>
                      </a:ln>
                    </wps:spPr>
                    <wps:txbx>
                      <w:txbxContent>
                        <w:p w14:paraId="6C774068" w14:textId="3EA45A45" w:rsidR="004217CE" w:rsidRPr="006271D8" w:rsidRDefault="00892074" w:rsidP="006271D8">
                          <w:pPr>
                            <w:jc w:val="right"/>
                            <w:rPr>
                              <w:rFonts w:ascii="Calibri"/>
                              <w:b/>
                              <w:color w:val="E1E7EC"/>
                              <w:spacing w:val="9"/>
                              <w:w w:val="105"/>
                              <w:sz w:val="42"/>
                            </w:rPr>
                          </w:pPr>
                          <w:proofErr w:type="spellStart"/>
                          <w:r>
                            <w:rPr>
                              <w:rFonts w:ascii="Calibri"/>
                              <w:b/>
                              <w:color w:val="E1E7EC"/>
                              <w:spacing w:val="9"/>
                              <w:w w:val="105"/>
                              <w:sz w:val="42"/>
                            </w:rPr>
                            <w:t>R</w:t>
                          </w:r>
                          <w:r w:rsidR="00DF5D8B">
                            <w:rPr>
                              <w:rFonts w:ascii="Calibri"/>
                              <w:b/>
                              <w:color w:val="E1E7EC"/>
                              <w:spacing w:val="9"/>
                              <w:w w:val="105"/>
                              <w:sz w:val="42"/>
                            </w:rPr>
                            <w:t>emdesivir</w:t>
                          </w:r>
                          <w:proofErr w:type="spellEnd"/>
                          <w:r w:rsidR="00DF5D8B">
                            <w:rPr>
                              <w:rFonts w:ascii="Calibri"/>
                              <w:b/>
                              <w:color w:val="E1E7EC"/>
                              <w:spacing w:val="9"/>
                              <w:w w:val="105"/>
                              <w:sz w:val="42"/>
                            </w:rPr>
                            <w:t xml:space="preserve"> Allocation and Distribution </w:t>
                          </w:r>
                          <w:r w:rsidR="005B2665">
                            <w:rPr>
                              <w:rFonts w:ascii="Calibri"/>
                              <w:b/>
                              <w:color w:val="E1E7EC"/>
                              <w:spacing w:val="9"/>
                              <w:w w:val="105"/>
                              <w:sz w:val="42"/>
                            </w:rPr>
                            <w:t>Frequently Asked Questions</w:t>
                          </w:r>
                          <w:r w:rsidR="006271D8">
                            <w:rPr>
                              <w:rFonts w:ascii="Calibri"/>
                              <w:b/>
                              <w:color w:val="E1E7EC"/>
                              <w:spacing w:val="9"/>
                              <w:w w:val="105"/>
                              <w:sz w:val="42"/>
                            </w:rPr>
                            <w:t xml:space="preserve"> </w:t>
                          </w:r>
                          <w:r w:rsidR="00E860F4">
                            <w:rPr>
                              <w:rFonts w:ascii="Calibri"/>
                              <w:b/>
                              <w:color w:val="E1E7EC"/>
                              <w:spacing w:val="9"/>
                              <w:w w:val="105"/>
                              <w:sz w:val="42"/>
                            </w:rPr>
                            <w:t>0</w:t>
                          </w:r>
                          <w:r w:rsidR="006271D8">
                            <w:rPr>
                              <w:rFonts w:ascii="Calibri"/>
                              <w:b/>
                              <w:color w:val="E1E7EC"/>
                              <w:spacing w:val="9"/>
                              <w:w w:val="105"/>
                              <w:sz w:val="42"/>
                            </w:rPr>
                            <w:t>7</w:t>
                          </w:r>
                          <w:r w:rsidR="00B57605">
                            <w:rPr>
                              <w:rFonts w:ascii="Calibri"/>
                              <w:b/>
                              <w:color w:val="E1E7EC"/>
                              <w:spacing w:val="9"/>
                              <w:w w:val="105"/>
                              <w:sz w:val="42"/>
                            </w:rPr>
                            <w:t>/</w:t>
                          </w:r>
                          <w:r w:rsidR="00B979E1">
                            <w:rPr>
                              <w:rFonts w:ascii="Calibri"/>
                              <w:b/>
                              <w:color w:val="E1E7EC"/>
                              <w:spacing w:val="9"/>
                              <w:w w:val="105"/>
                              <w:sz w:val="42"/>
                            </w:rPr>
                            <w:t>2</w:t>
                          </w:r>
                          <w:r w:rsidR="00A26882">
                            <w:rPr>
                              <w:rFonts w:ascii="Calibri"/>
                              <w:b/>
                              <w:color w:val="E1E7EC"/>
                              <w:spacing w:val="9"/>
                              <w:w w:val="105"/>
                              <w:sz w:val="42"/>
                            </w:rPr>
                            <w:t>9</w:t>
                          </w:r>
                          <w:r w:rsidR="00B57605">
                            <w:rPr>
                              <w:rFonts w:ascii="Calibri"/>
                              <w:b/>
                              <w:color w:val="E1E7EC"/>
                              <w:spacing w:val="9"/>
                              <w:w w:val="105"/>
                              <w:sz w:val="42"/>
                            </w:rPr>
                            <w:t>/</w:t>
                          </w:r>
                          <w:r w:rsidR="006271D8">
                            <w:rPr>
                              <w:rFonts w:ascii="Calibri"/>
                              <w:b/>
                              <w:color w:val="E1E7EC"/>
                              <w:spacing w:val="9"/>
                              <w:w w:val="105"/>
                              <w:sz w:val="4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20F87" id="_x0000_t202" coordsize="21600,21600" o:spt="202" path="m,l,21600r21600,l21600,xe">
              <v:stroke joinstyle="miter"/>
              <v:path gradientshapeok="t" o:connecttype="rect"/>
            </v:shapetype>
            <v:shape id="Text Box 2" o:spid="_x0000_s1026" type="#_x0000_t202" style="position:absolute;margin-left:123.5pt;margin-top:10pt;width:425.5pt;height: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" filled="f" stroked="f">
              <v:textbox>
                <w:txbxContent>
                  <w:p w14:paraId="6C774068" w14:textId="3EA45A45" w:rsidR="004217CE" w:rsidRPr="006271D8" w:rsidRDefault="00892074" w:rsidP="006271D8">
                    <w:pPr>
                      <w:jc w:val="right"/>
                      <w:rPr>
                        <w:rFonts w:ascii="Calibri"/>
                        <w:b/>
                        <w:color w:val="E1E7EC"/>
                        <w:spacing w:val="9"/>
                        <w:w w:val="105"/>
                        <w:sz w:val="42"/>
                      </w:rPr>
                    </w:pPr>
                    <w:proofErr w:type="spellStart"/>
                    <w:r>
                      <w:rPr>
                        <w:rFonts w:ascii="Calibri"/>
                        <w:b/>
                        <w:color w:val="E1E7EC"/>
                        <w:spacing w:val="9"/>
                        <w:w w:val="105"/>
                        <w:sz w:val="42"/>
                      </w:rPr>
                      <w:t>R</w:t>
                    </w:r>
                    <w:r w:rsidR="00DF5D8B">
                      <w:rPr>
                        <w:rFonts w:ascii="Calibri"/>
                        <w:b/>
                        <w:color w:val="E1E7EC"/>
                        <w:spacing w:val="9"/>
                        <w:w w:val="105"/>
                        <w:sz w:val="42"/>
                      </w:rPr>
                      <w:t>emdesivir</w:t>
                    </w:r>
                    <w:proofErr w:type="spellEnd"/>
                    <w:r w:rsidR="00DF5D8B">
                      <w:rPr>
                        <w:rFonts w:ascii="Calibri"/>
                        <w:b/>
                        <w:color w:val="E1E7EC"/>
                        <w:spacing w:val="9"/>
                        <w:w w:val="105"/>
                        <w:sz w:val="42"/>
                      </w:rPr>
                      <w:t xml:space="preserve"> Allocation and Distribution </w:t>
                    </w:r>
                    <w:r w:rsidR="005B2665">
                      <w:rPr>
                        <w:rFonts w:ascii="Calibri"/>
                        <w:b/>
                        <w:color w:val="E1E7EC"/>
                        <w:spacing w:val="9"/>
                        <w:w w:val="105"/>
                        <w:sz w:val="42"/>
                      </w:rPr>
                      <w:t>Frequently Asked Questions</w:t>
                    </w:r>
                    <w:r w:rsidR="006271D8">
                      <w:rPr>
                        <w:rFonts w:ascii="Calibri"/>
                        <w:b/>
                        <w:color w:val="E1E7EC"/>
                        <w:spacing w:val="9"/>
                        <w:w w:val="105"/>
                        <w:sz w:val="42"/>
                      </w:rPr>
                      <w:t xml:space="preserve"> </w:t>
                    </w:r>
                    <w:r w:rsidR="00E860F4">
                      <w:rPr>
                        <w:rFonts w:ascii="Calibri"/>
                        <w:b/>
                        <w:color w:val="E1E7EC"/>
                        <w:spacing w:val="9"/>
                        <w:w w:val="105"/>
                        <w:sz w:val="42"/>
                      </w:rPr>
                      <w:t>0</w:t>
                    </w:r>
                    <w:r w:rsidR="006271D8">
                      <w:rPr>
                        <w:rFonts w:ascii="Calibri"/>
                        <w:b/>
                        <w:color w:val="E1E7EC"/>
                        <w:spacing w:val="9"/>
                        <w:w w:val="105"/>
                        <w:sz w:val="42"/>
                      </w:rPr>
                      <w:t>7</w:t>
                    </w:r>
                    <w:r w:rsidR="00B57605">
                      <w:rPr>
                        <w:rFonts w:ascii="Calibri"/>
                        <w:b/>
                        <w:color w:val="E1E7EC"/>
                        <w:spacing w:val="9"/>
                        <w:w w:val="105"/>
                        <w:sz w:val="42"/>
                      </w:rPr>
                      <w:t>/</w:t>
                    </w:r>
                    <w:r w:rsidR="00B979E1">
                      <w:rPr>
                        <w:rFonts w:ascii="Calibri"/>
                        <w:b/>
                        <w:color w:val="E1E7EC"/>
                        <w:spacing w:val="9"/>
                        <w:w w:val="105"/>
                        <w:sz w:val="42"/>
                      </w:rPr>
                      <w:t>2</w:t>
                    </w:r>
                    <w:r w:rsidR="00A26882">
                      <w:rPr>
                        <w:rFonts w:ascii="Calibri"/>
                        <w:b/>
                        <w:color w:val="E1E7EC"/>
                        <w:spacing w:val="9"/>
                        <w:w w:val="105"/>
                        <w:sz w:val="42"/>
                      </w:rPr>
                      <w:t>9</w:t>
                    </w:r>
                    <w:r w:rsidR="00B57605">
                      <w:rPr>
                        <w:rFonts w:ascii="Calibri"/>
                        <w:b/>
                        <w:color w:val="E1E7EC"/>
                        <w:spacing w:val="9"/>
                        <w:w w:val="105"/>
                        <w:sz w:val="42"/>
                      </w:rPr>
                      <w:t>/</w:t>
                    </w:r>
                    <w:r w:rsidR="006271D8">
                      <w:rPr>
                        <w:rFonts w:ascii="Calibri"/>
                        <w:b/>
                        <w:color w:val="E1E7EC"/>
                        <w:spacing w:val="9"/>
                        <w:w w:val="105"/>
                        <w:sz w:val="42"/>
                      </w:rPr>
                      <w:t>20</w:t>
                    </w:r>
                  </w:p>
                </w:txbxContent>
              </v:textbox>
              <w10:wrap anchorx="margin"/>
            </v:shape>
          </w:pict>
        </mc:Fallback>
      </mc:AlternateContent>
    </w:r>
    <w:r w:rsidR="001E0382">
      <w:rPr>
        <w:noProof/>
      </w:rPr>
      <w:drawing>
        <wp:anchor distT="0" distB="0" distL="0" distR="0" simplePos="0" relativeHeight="251661312" behindDoc="0" locked="0" layoutInCell="1" allowOverlap="1" wp14:anchorId="2686564F" wp14:editId="4C820C40">
          <wp:simplePos x="0" y="0"/>
          <wp:positionH relativeFrom="page">
            <wp:posOffset>184150</wp:posOffset>
          </wp:positionH>
          <wp:positionV relativeFrom="paragraph">
            <wp:posOffset>-260350</wp:posOffset>
          </wp:positionV>
          <wp:extent cx="2074631" cy="869950"/>
          <wp:effectExtent l="0" t="0" r="1905"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96080" cy="878944"/>
                  </a:xfrm>
                  <a:prstGeom prst="rect">
                    <a:avLst/>
                  </a:prstGeom>
                </pic:spPr>
              </pic:pic>
            </a:graphicData>
          </a:graphic>
          <wp14:sizeRelH relativeFrom="margin">
            <wp14:pctWidth>0</wp14:pctWidth>
          </wp14:sizeRelH>
          <wp14:sizeRelV relativeFrom="margin">
            <wp14:pctHeight>0</wp14:pctHeight>
          </wp14:sizeRelV>
        </wp:anchor>
      </w:drawing>
    </w:r>
    <w:r w:rsidR="00DF5D8B">
      <w:rPr>
        <w:noProof/>
      </w:rPr>
      <w:drawing>
        <wp:anchor distT="0" distB="0" distL="114300" distR="114300" simplePos="0" relativeHeight="251657216" behindDoc="0" locked="0" layoutInCell="1" allowOverlap="1" wp14:anchorId="2F6B4CC5" wp14:editId="57FB0F50">
          <wp:simplePos x="0" y="0"/>
          <wp:positionH relativeFrom="column">
            <wp:posOffset>4127500</wp:posOffset>
          </wp:positionH>
          <wp:positionV relativeFrom="paragraph">
            <wp:posOffset>-457200</wp:posOffset>
          </wp:positionV>
          <wp:extent cx="2723515" cy="5988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r="4555" b="16265"/>
                  <a:stretch/>
                </pic:blipFill>
                <pic:spPr bwMode="auto">
                  <a:xfrm>
                    <a:off x="0" y="0"/>
                    <a:ext cx="272351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42D">
      <w:rPr>
        <w:noProof/>
      </w:rPr>
      <w:t xml:space="preserve"> </w:t>
    </w:r>
    <w:r w:rsidR="004217CE">
      <w:rPr>
        <w:noProof/>
      </w:rPr>
      <mc:AlternateContent>
        <mc:Choice Requires="wps">
          <w:drawing>
            <wp:anchor distT="0" distB="0" distL="114300" distR="114300" simplePos="0" relativeHeight="251654144" behindDoc="1" locked="0" layoutInCell="1" allowOverlap="1" wp14:anchorId="67E78E1E" wp14:editId="3944078A">
              <wp:simplePos x="0" y="0"/>
              <wp:positionH relativeFrom="page">
                <wp:posOffset>1297</wp:posOffset>
              </wp:positionH>
              <wp:positionV relativeFrom="page">
                <wp:posOffset>1325</wp:posOffset>
              </wp:positionV>
              <wp:extent cx="7815580" cy="127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5580" cy="1276350"/>
                      </a:xfrm>
                      <a:prstGeom prst="rect">
                        <a:avLst/>
                      </a:prstGeom>
                      <a:solidFill>
                        <a:srgbClr val="1D37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DE0E" id="Rectangle 2" o:spid="_x0000_s1026" style="position:absolute;margin-left:.1pt;margin-top:.1pt;width:615.4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" fillcolor="#1d376d" stroked="f">
              <w10:wrap anchorx="page" anchory="page"/>
            </v:rect>
          </w:pict>
        </mc:Fallback>
      </mc:AlternateContent>
    </w:r>
  </w:p>
  <w:p w14:paraId="6F961603" w14:textId="6B92BBB8" w:rsidR="004217CE" w:rsidRDefault="0042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5ED2"/>
    <w:multiLevelType w:val="hybridMultilevel"/>
    <w:tmpl w:val="D4D0B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03CC5"/>
    <w:multiLevelType w:val="hybridMultilevel"/>
    <w:tmpl w:val="E96C5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2C0D88"/>
    <w:multiLevelType w:val="hybridMultilevel"/>
    <w:tmpl w:val="73561952"/>
    <w:lvl w:ilvl="0" w:tplc="D870EB32">
      <w:start w:val="1"/>
      <w:numFmt w:val="decimal"/>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5E"/>
    <w:rsid w:val="00047905"/>
    <w:rsid w:val="0008405E"/>
    <w:rsid w:val="000C042F"/>
    <w:rsid w:val="000C08A1"/>
    <w:rsid w:val="000D5740"/>
    <w:rsid w:val="000F2B33"/>
    <w:rsid w:val="00112066"/>
    <w:rsid w:val="001410DB"/>
    <w:rsid w:val="00163DE5"/>
    <w:rsid w:val="00187AD9"/>
    <w:rsid w:val="001E0382"/>
    <w:rsid w:val="002535CE"/>
    <w:rsid w:val="002721C3"/>
    <w:rsid w:val="002A55B9"/>
    <w:rsid w:val="002B234B"/>
    <w:rsid w:val="002B5908"/>
    <w:rsid w:val="00370B33"/>
    <w:rsid w:val="003C6C6D"/>
    <w:rsid w:val="003D01B0"/>
    <w:rsid w:val="00412763"/>
    <w:rsid w:val="004217CE"/>
    <w:rsid w:val="00462EAF"/>
    <w:rsid w:val="00473BB5"/>
    <w:rsid w:val="00487B42"/>
    <w:rsid w:val="004D1BEE"/>
    <w:rsid w:val="004F411A"/>
    <w:rsid w:val="00573A62"/>
    <w:rsid w:val="005B2665"/>
    <w:rsid w:val="005B2D48"/>
    <w:rsid w:val="005E4A18"/>
    <w:rsid w:val="005F3A32"/>
    <w:rsid w:val="006271D8"/>
    <w:rsid w:val="006558C9"/>
    <w:rsid w:val="006C742D"/>
    <w:rsid w:val="006D606E"/>
    <w:rsid w:val="007B11DE"/>
    <w:rsid w:val="007C57B8"/>
    <w:rsid w:val="007C6051"/>
    <w:rsid w:val="0083635D"/>
    <w:rsid w:val="00853924"/>
    <w:rsid w:val="00885944"/>
    <w:rsid w:val="00892074"/>
    <w:rsid w:val="00903434"/>
    <w:rsid w:val="00936FD3"/>
    <w:rsid w:val="0099611C"/>
    <w:rsid w:val="009D5066"/>
    <w:rsid w:val="00A26882"/>
    <w:rsid w:val="00A45D9D"/>
    <w:rsid w:val="00A82210"/>
    <w:rsid w:val="00AD3419"/>
    <w:rsid w:val="00AE123E"/>
    <w:rsid w:val="00AF7B40"/>
    <w:rsid w:val="00B57605"/>
    <w:rsid w:val="00B809A2"/>
    <w:rsid w:val="00B979E1"/>
    <w:rsid w:val="00BA2D74"/>
    <w:rsid w:val="00BB575A"/>
    <w:rsid w:val="00C40AEF"/>
    <w:rsid w:val="00C67F45"/>
    <w:rsid w:val="00C80C46"/>
    <w:rsid w:val="00CA0049"/>
    <w:rsid w:val="00CF7902"/>
    <w:rsid w:val="00D31AF7"/>
    <w:rsid w:val="00D53E35"/>
    <w:rsid w:val="00D75E5E"/>
    <w:rsid w:val="00DC0182"/>
    <w:rsid w:val="00DF5D8B"/>
    <w:rsid w:val="00E13E58"/>
    <w:rsid w:val="00E258B8"/>
    <w:rsid w:val="00E3065B"/>
    <w:rsid w:val="00E860F4"/>
    <w:rsid w:val="00EB0716"/>
    <w:rsid w:val="00F020CE"/>
    <w:rsid w:val="00F93C61"/>
    <w:rsid w:val="00FE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E439A"/>
  <w15:docId w15:val="{8BAAC07C-1438-4027-BB1D-8058C686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6"/>
      <w:ind w:left="7331"/>
    </w:pPr>
    <w:rPr>
      <w:b/>
      <w:bCs/>
      <w:sz w:val="80"/>
      <w:szCs w:val="8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75A"/>
    <w:rPr>
      <w:rFonts w:ascii="Tahoma" w:hAnsi="Tahoma" w:cs="Tahoma"/>
      <w:sz w:val="16"/>
      <w:szCs w:val="16"/>
    </w:rPr>
  </w:style>
  <w:style w:type="character" w:customStyle="1" w:styleId="BalloonTextChar">
    <w:name w:val="Balloon Text Char"/>
    <w:basedOn w:val="DefaultParagraphFont"/>
    <w:link w:val="BalloonText"/>
    <w:uiPriority w:val="99"/>
    <w:semiHidden/>
    <w:rsid w:val="00BB575A"/>
    <w:rPr>
      <w:rFonts w:ascii="Tahoma" w:eastAsia="Gill Sans MT" w:hAnsi="Tahoma" w:cs="Tahoma"/>
      <w:sz w:val="16"/>
      <w:szCs w:val="16"/>
    </w:rPr>
  </w:style>
  <w:style w:type="paragraph" w:styleId="NormalWeb">
    <w:name w:val="Normal (Web)"/>
    <w:basedOn w:val="Normal"/>
    <w:uiPriority w:val="99"/>
    <w:unhideWhenUsed/>
    <w:rsid w:val="00BB575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17CE"/>
    <w:pPr>
      <w:tabs>
        <w:tab w:val="center" w:pos="4680"/>
        <w:tab w:val="right" w:pos="9360"/>
      </w:tabs>
    </w:pPr>
  </w:style>
  <w:style w:type="character" w:customStyle="1" w:styleId="HeaderChar">
    <w:name w:val="Header Char"/>
    <w:basedOn w:val="DefaultParagraphFont"/>
    <w:link w:val="Header"/>
    <w:uiPriority w:val="99"/>
    <w:rsid w:val="004217CE"/>
    <w:rPr>
      <w:rFonts w:ascii="Gill Sans MT" w:eastAsia="Gill Sans MT" w:hAnsi="Gill Sans MT" w:cs="Gill Sans MT"/>
    </w:rPr>
  </w:style>
  <w:style w:type="paragraph" w:styleId="Footer">
    <w:name w:val="footer"/>
    <w:basedOn w:val="Normal"/>
    <w:link w:val="FooterChar"/>
    <w:uiPriority w:val="99"/>
    <w:unhideWhenUsed/>
    <w:rsid w:val="004217CE"/>
    <w:pPr>
      <w:tabs>
        <w:tab w:val="center" w:pos="4680"/>
        <w:tab w:val="right" w:pos="9360"/>
      </w:tabs>
    </w:pPr>
  </w:style>
  <w:style w:type="character" w:customStyle="1" w:styleId="FooterChar">
    <w:name w:val="Footer Char"/>
    <w:basedOn w:val="DefaultParagraphFont"/>
    <w:link w:val="Footer"/>
    <w:uiPriority w:val="99"/>
    <w:rsid w:val="004217CE"/>
    <w:rPr>
      <w:rFonts w:ascii="Gill Sans MT" w:eastAsia="Gill Sans MT" w:hAnsi="Gill Sans MT" w:cs="Gill Sans MT"/>
    </w:rPr>
  </w:style>
  <w:style w:type="character" w:styleId="Hyperlink">
    <w:name w:val="Hyperlink"/>
    <w:basedOn w:val="DefaultParagraphFont"/>
    <w:uiPriority w:val="99"/>
    <w:unhideWhenUsed/>
    <w:rsid w:val="00903434"/>
    <w:rPr>
      <w:color w:val="0000FF" w:themeColor="hyperlink"/>
      <w:u w:val="single"/>
    </w:rPr>
  </w:style>
  <w:style w:type="character" w:styleId="UnresolvedMention">
    <w:name w:val="Unresolved Mention"/>
    <w:basedOn w:val="DefaultParagraphFont"/>
    <w:uiPriority w:val="99"/>
    <w:semiHidden/>
    <w:unhideWhenUsed/>
    <w:rsid w:val="00903434"/>
    <w:rPr>
      <w:color w:val="605E5C"/>
      <w:shd w:val="clear" w:color="auto" w:fill="E1DFDD"/>
    </w:rPr>
  </w:style>
  <w:style w:type="character" w:styleId="FollowedHyperlink">
    <w:name w:val="FollowedHyperlink"/>
    <w:basedOn w:val="DefaultParagraphFont"/>
    <w:uiPriority w:val="99"/>
    <w:semiHidden/>
    <w:unhideWhenUsed/>
    <w:rsid w:val="003C6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9192">
      <w:bodyDiv w:val="1"/>
      <w:marLeft w:val="0"/>
      <w:marRight w:val="0"/>
      <w:marTop w:val="0"/>
      <w:marBottom w:val="0"/>
      <w:divBdr>
        <w:top w:val="none" w:sz="0" w:space="0" w:color="auto"/>
        <w:left w:val="none" w:sz="0" w:space="0" w:color="auto"/>
        <w:bottom w:val="none" w:sz="0" w:space="0" w:color="auto"/>
        <w:right w:val="none" w:sz="0" w:space="0" w:color="auto"/>
      </w:divBdr>
    </w:div>
    <w:div w:id="254752120">
      <w:bodyDiv w:val="1"/>
      <w:marLeft w:val="0"/>
      <w:marRight w:val="0"/>
      <w:marTop w:val="0"/>
      <w:marBottom w:val="0"/>
      <w:divBdr>
        <w:top w:val="none" w:sz="0" w:space="0" w:color="auto"/>
        <w:left w:val="none" w:sz="0" w:space="0" w:color="auto"/>
        <w:bottom w:val="none" w:sz="0" w:space="0" w:color="auto"/>
        <w:right w:val="none" w:sz="0" w:space="0" w:color="auto"/>
      </w:divBdr>
    </w:div>
    <w:div w:id="408039846">
      <w:bodyDiv w:val="1"/>
      <w:marLeft w:val="0"/>
      <w:marRight w:val="0"/>
      <w:marTop w:val="0"/>
      <w:marBottom w:val="0"/>
      <w:divBdr>
        <w:top w:val="none" w:sz="0" w:space="0" w:color="auto"/>
        <w:left w:val="none" w:sz="0" w:space="0" w:color="auto"/>
        <w:bottom w:val="none" w:sz="0" w:space="0" w:color="auto"/>
        <w:right w:val="none" w:sz="0" w:space="0" w:color="auto"/>
      </w:divBdr>
    </w:div>
    <w:div w:id="457650261">
      <w:bodyDiv w:val="1"/>
      <w:marLeft w:val="0"/>
      <w:marRight w:val="0"/>
      <w:marTop w:val="0"/>
      <w:marBottom w:val="0"/>
      <w:divBdr>
        <w:top w:val="none" w:sz="0" w:space="0" w:color="auto"/>
        <w:left w:val="none" w:sz="0" w:space="0" w:color="auto"/>
        <w:bottom w:val="none" w:sz="0" w:space="0" w:color="auto"/>
        <w:right w:val="none" w:sz="0" w:space="0" w:color="auto"/>
      </w:divBdr>
    </w:div>
    <w:div w:id="493761124">
      <w:bodyDiv w:val="1"/>
      <w:marLeft w:val="0"/>
      <w:marRight w:val="0"/>
      <w:marTop w:val="0"/>
      <w:marBottom w:val="0"/>
      <w:divBdr>
        <w:top w:val="none" w:sz="0" w:space="0" w:color="auto"/>
        <w:left w:val="none" w:sz="0" w:space="0" w:color="auto"/>
        <w:bottom w:val="none" w:sz="0" w:space="0" w:color="auto"/>
        <w:right w:val="none" w:sz="0" w:space="0" w:color="auto"/>
      </w:divBdr>
    </w:div>
    <w:div w:id="791946589">
      <w:bodyDiv w:val="1"/>
      <w:marLeft w:val="0"/>
      <w:marRight w:val="0"/>
      <w:marTop w:val="0"/>
      <w:marBottom w:val="0"/>
      <w:divBdr>
        <w:top w:val="none" w:sz="0" w:space="0" w:color="auto"/>
        <w:left w:val="none" w:sz="0" w:space="0" w:color="auto"/>
        <w:bottom w:val="none" w:sz="0" w:space="0" w:color="auto"/>
        <w:right w:val="none" w:sz="0" w:space="0" w:color="auto"/>
      </w:divBdr>
    </w:div>
    <w:div w:id="1131510690">
      <w:bodyDiv w:val="1"/>
      <w:marLeft w:val="0"/>
      <w:marRight w:val="0"/>
      <w:marTop w:val="0"/>
      <w:marBottom w:val="0"/>
      <w:divBdr>
        <w:top w:val="none" w:sz="0" w:space="0" w:color="auto"/>
        <w:left w:val="none" w:sz="0" w:space="0" w:color="auto"/>
        <w:bottom w:val="none" w:sz="0" w:space="0" w:color="auto"/>
        <w:right w:val="none" w:sz="0" w:space="0" w:color="auto"/>
      </w:divBdr>
    </w:div>
    <w:div w:id="1169759350">
      <w:bodyDiv w:val="1"/>
      <w:marLeft w:val="0"/>
      <w:marRight w:val="0"/>
      <w:marTop w:val="0"/>
      <w:marBottom w:val="0"/>
      <w:divBdr>
        <w:top w:val="none" w:sz="0" w:space="0" w:color="auto"/>
        <w:left w:val="none" w:sz="0" w:space="0" w:color="auto"/>
        <w:bottom w:val="none" w:sz="0" w:space="0" w:color="auto"/>
        <w:right w:val="none" w:sz="0" w:space="0" w:color="auto"/>
      </w:divBdr>
    </w:div>
    <w:div w:id="1236090726">
      <w:bodyDiv w:val="1"/>
      <w:marLeft w:val="0"/>
      <w:marRight w:val="0"/>
      <w:marTop w:val="0"/>
      <w:marBottom w:val="0"/>
      <w:divBdr>
        <w:top w:val="none" w:sz="0" w:space="0" w:color="auto"/>
        <w:left w:val="none" w:sz="0" w:space="0" w:color="auto"/>
        <w:bottom w:val="none" w:sz="0" w:space="0" w:color="auto"/>
        <w:right w:val="none" w:sz="0" w:space="0" w:color="auto"/>
      </w:divBdr>
    </w:div>
    <w:div w:id="1637447203">
      <w:bodyDiv w:val="1"/>
      <w:marLeft w:val="0"/>
      <w:marRight w:val="0"/>
      <w:marTop w:val="0"/>
      <w:marBottom w:val="0"/>
      <w:divBdr>
        <w:top w:val="none" w:sz="0" w:space="0" w:color="auto"/>
        <w:left w:val="none" w:sz="0" w:space="0" w:color="auto"/>
        <w:bottom w:val="none" w:sz="0" w:space="0" w:color="auto"/>
        <w:right w:val="none" w:sz="0" w:space="0" w:color="auto"/>
      </w:divBdr>
    </w:div>
    <w:div w:id="182303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lita.Richards@t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larke@th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Petersen@t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lita.Richards@tn.gov" TargetMode="External"/><Relationship Id="rId4" Type="http://schemas.openxmlformats.org/officeDocument/2006/relationships/settings" Target="settings.xml"/><Relationship Id="rId9" Type="http://schemas.openxmlformats.org/officeDocument/2006/relationships/hyperlink" Target="mailto:Calita.Richards@tn.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6BCB-3986-40D9-85DB-CCB416A1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COVID-19 Headers</vt:lpstr>
    </vt:vector>
  </TitlesOfParts>
  <Company>State of Tennessee Dept. of Health</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Headers</dc:title>
  <dc:creator>dilaning</dc:creator>
  <cp:keywords>DAD6SdeJpFo,BADl9I1Z1Vg</cp:keywords>
  <cp:lastModifiedBy>Lizzy Adeyemi</cp:lastModifiedBy>
  <cp:revision>2</cp:revision>
  <dcterms:created xsi:type="dcterms:W3CDTF">2020-07-31T13:33:00Z</dcterms:created>
  <dcterms:modified xsi:type="dcterms:W3CDTF">2020-07-31T13:33:00Z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Canva</vt:lpwstr>
  </property>
  <property fmtid="{D5CDD505-2E9C-101B-9397-08002B2CF9AE}" pid="4" name="LastSaved">
    <vt:filetime>2020-05-22T00:00:00Z</vt:filetime>
  </property>
</Properties>
</file>