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7DB2C" w14:textId="77777777" w:rsidR="00F90410" w:rsidRPr="00F90410" w:rsidRDefault="00F90410" w:rsidP="00F90410">
      <w:pPr>
        <w:spacing w:after="0" w:line="240" w:lineRule="auto"/>
        <w:jc w:val="center"/>
        <w:rPr>
          <w:rFonts w:ascii="Arial" w:eastAsia="Calibri" w:hAnsi="Arial" w:cs="Arial"/>
          <w:b/>
          <w:bCs/>
        </w:rPr>
      </w:pPr>
      <w:r w:rsidRPr="00F90410">
        <w:rPr>
          <w:rFonts w:ascii="Arial" w:eastAsia="Calibri" w:hAnsi="Arial" w:cs="Arial"/>
          <w:b/>
          <w:bCs/>
          <w:noProof/>
        </w:rPr>
        <w:drawing>
          <wp:inline distT="0" distB="0" distL="0" distR="0" wp14:anchorId="50402C48" wp14:editId="48EFA324">
            <wp:extent cx="1767840" cy="756285"/>
            <wp:effectExtent l="0" t="0" r="381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7840" cy="756285"/>
                    </a:xfrm>
                    <a:prstGeom prst="rect">
                      <a:avLst/>
                    </a:prstGeom>
                    <a:noFill/>
                  </pic:spPr>
                </pic:pic>
              </a:graphicData>
            </a:graphic>
          </wp:inline>
        </w:drawing>
      </w:r>
    </w:p>
    <w:p w14:paraId="666FE82C" w14:textId="77777777" w:rsidR="00F90410" w:rsidRPr="00F90410" w:rsidRDefault="00F90410" w:rsidP="00F90410">
      <w:pPr>
        <w:spacing w:after="0" w:line="240" w:lineRule="auto"/>
        <w:jc w:val="center"/>
        <w:rPr>
          <w:rFonts w:ascii="Arial" w:eastAsia="Calibri" w:hAnsi="Arial" w:cs="Arial"/>
          <w:b/>
          <w:bCs/>
        </w:rPr>
      </w:pPr>
    </w:p>
    <w:p w14:paraId="6E2ABADF" w14:textId="77777777" w:rsidR="00F90410" w:rsidRPr="00F90410" w:rsidRDefault="00F90410" w:rsidP="00F90410">
      <w:pPr>
        <w:spacing w:after="0" w:line="240" w:lineRule="auto"/>
        <w:jc w:val="center"/>
        <w:rPr>
          <w:rFonts w:ascii="Arial" w:eastAsia="Calibri" w:hAnsi="Arial" w:cs="Arial"/>
          <w:b/>
          <w:bCs/>
        </w:rPr>
      </w:pPr>
      <w:r w:rsidRPr="00F90410">
        <w:rPr>
          <w:rFonts w:ascii="Arial" w:eastAsia="Calibri" w:hAnsi="Arial" w:cs="Arial"/>
          <w:b/>
          <w:bCs/>
        </w:rPr>
        <w:t xml:space="preserve">THA Federal Priority:  </w:t>
      </w:r>
      <w:r w:rsidRPr="00F90410">
        <w:rPr>
          <w:rFonts w:ascii="Arial" w:eastAsia="Calibri" w:hAnsi="Arial" w:cs="Arial"/>
          <w:b/>
          <w:bCs/>
          <w:u w:val="single"/>
        </w:rPr>
        <w:t>Price/Cost Transparency</w:t>
      </w:r>
    </w:p>
    <w:p w14:paraId="784FE383" w14:textId="77777777" w:rsidR="00F90410" w:rsidRPr="00F90410" w:rsidRDefault="00F90410" w:rsidP="00F90410">
      <w:pPr>
        <w:spacing w:after="0" w:line="240" w:lineRule="auto"/>
        <w:jc w:val="center"/>
        <w:rPr>
          <w:rFonts w:ascii="Arial" w:eastAsia="Calibri" w:hAnsi="Arial" w:cs="Arial"/>
          <w:i/>
          <w:iCs/>
        </w:rPr>
      </w:pPr>
      <w:r w:rsidRPr="00F90410">
        <w:rPr>
          <w:rFonts w:ascii="Arial" w:eastAsia="Calibri" w:hAnsi="Arial" w:cs="Arial"/>
          <w:i/>
          <w:iCs/>
        </w:rPr>
        <w:t>Updated October 2020</w:t>
      </w:r>
    </w:p>
    <w:p w14:paraId="2BD80503" w14:textId="77777777" w:rsidR="00F90410" w:rsidRPr="00F90410" w:rsidRDefault="00F90410" w:rsidP="00F90410">
      <w:pPr>
        <w:spacing w:after="0" w:line="240" w:lineRule="auto"/>
        <w:rPr>
          <w:rFonts w:ascii="Arial" w:eastAsia="Calibri" w:hAnsi="Arial" w:cs="Arial"/>
        </w:rPr>
      </w:pPr>
    </w:p>
    <w:p w14:paraId="194517A3" w14:textId="77777777" w:rsidR="00F90410" w:rsidRPr="00F90410" w:rsidRDefault="00F90410" w:rsidP="00F90410">
      <w:pPr>
        <w:spacing w:after="0" w:line="240" w:lineRule="auto"/>
        <w:rPr>
          <w:rFonts w:ascii="Arial" w:eastAsia="Calibri" w:hAnsi="Arial" w:cs="Arial"/>
          <w:b/>
          <w:bCs/>
          <w:color w:val="212121"/>
          <w:shd w:val="clear" w:color="auto" w:fill="FFFFFF"/>
        </w:rPr>
      </w:pPr>
    </w:p>
    <w:p w14:paraId="0AA89000" w14:textId="77777777" w:rsidR="00F90410" w:rsidRPr="00F90410" w:rsidRDefault="00F90410" w:rsidP="00F90410">
      <w:pPr>
        <w:spacing w:after="0" w:line="240" w:lineRule="auto"/>
        <w:rPr>
          <w:rFonts w:ascii="Arial" w:eastAsia="Calibri" w:hAnsi="Arial" w:cs="Arial"/>
          <w:b/>
          <w:bCs/>
          <w:color w:val="212121"/>
          <w:shd w:val="clear" w:color="auto" w:fill="FFFFFF"/>
        </w:rPr>
      </w:pPr>
      <w:r w:rsidRPr="00F90410">
        <w:rPr>
          <w:rFonts w:ascii="Arial" w:eastAsia="Calibri" w:hAnsi="Arial" w:cs="Arial"/>
          <w:b/>
          <w:bCs/>
          <w:color w:val="212121"/>
          <w:shd w:val="clear" w:color="auto" w:fill="FFFFFF"/>
        </w:rPr>
        <w:t>Why this is important</w:t>
      </w:r>
    </w:p>
    <w:p w14:paraId="7FA903EC" w14:textId="77777777" w:rsidR="00F90410" w:rsidRPr="00F90410" w:rsidRDefault="00F90410" w:rsidP="00F90410">
      <w:pPr>
        <w:spacing w:after="0" w:line="240" w:lineRule="auto"/>
        <w:rPr>
          <w:rFonts w:ascii="Arial" w:eastAsia="Calibri" w:hAnsi="Arial" w:cs="Arial"/>
          <w:color w:val="212121"/>
          <w:shd w:val="clear" w:color="auto" w:fill="FFFFFF"/>
        </w:rPr>
      </w:pPr>
      <w:r w:rsidRPr="00F90410">
        <w:rPr>
          <w:rFonts w:ascii="Arial" w:eastAsia="Calibri" w:hAnsi="Arial" w:cs="Arial"/>
          <w:color w:val="212121"/>
          <w:shd w:val="clear" w:color="auto" w:fill="FFFFFF"/>
        </w:rPr>
        <w:t>Price transparency is a good thing for patients and their advocates. People should know what their healthcare is going to cost them out of pocket.</w:t>
      </w:r>
    </w:p>
    <w:p w14:paraId="12087038" w14:textId="77777777" w:rsidR="00F90410" w:rsidRPr="00F90410" w:rsidRDefault="00F90410" w:rsidP="00F90410">
      <w:pPr>
        <w:spacing w:after="0" w:line="240" w:lineRule="auto"/>
        <w:rPr>
          <w:rFonts w:ascii="Arial" w:eastAsia="Calibri" w:hAnsi="Arial" w:cs="Arial"/>
          <w:color w:val="212121"/>
          <w:shd w:val="clear" w:color="auto" w:fill="FFFFFF"/>
        </w:rPr>
      </w:pPr>
    </w:p>
    <w:p w14:paraId="68C5D501" w14:textId="77777777" w:rsidR="00F90410" w:rsidRPr="00F90410" w:rsidRDefault="00F90410" w:rsidP="00F90410">
      <w:pPr>
        <w:spacing w:after="0" w:line="240" w:lineRule="auto"/>
        <w:rPr>
          <w:rFonts w:ascii="Arial" w:eastAsia="Calibri" w:hAnsi="Arial" w:cs="Arial"/>
          <w:b/>
          <w:bCs/>
          <w:color w:val="212121"/>
          <w:shd w:val="clear" w:color="auto" w:fill="FFFFFF"/>
        </w:rPr>
      </w:pPr>
      <w:r w:rsidRPr="00F90410">
        <w:rPr>
          <w:rFonts w:ascii="Arial" w:eastAsia="Calibri" w:hAnsi="Arial" w:cs="Arial"/>
          <w:b/>
          <w:bCs/>
          <w:color w:val="212121"/>
          <w:shd w:val="clear" w:color="auto" w:fill="FFFFFF"/>
        </w:rPr>
        <w:t>Key talking points</w:t>
      </w:r>
    </w:p>
    <w:p w14:paraId="08897E34" w14:textId="77777777" w:rsidR="00F90410" w:rsidRPr="00F90410" w:rsidRDefault="00F90410" w:rsidP="00F90410">
      <w:pPr>
        <w:numPr>
          <w:ilvl w:val="0"/>
          <w:numId w:val="3"/>
        </w:numPr>
        <w:spacing w:after="0" w:line="240" w:lineRule="auto"/>
        <w:contextualSpacing/>
        <w:rPr>
          <w:rFonts w:ascii="Arial" w:eastAsia="Calibri" w:hAnsi="Arial" w:cs="Arial"/>
          <w:color w:val="212121"/>
          <w:shd w:val="clear" w:color="auto" w:fill="FFFFFF"/>
        </w:rPr>
      </w:pPr>
      <w:proofErr w:type="gramStart"/>
      <w:r w:rsidRPr="00F90410">
        <w:rPr>
          <w:rFonts w:ascii="Arial" w:eastAsia="Calibri" w:hAnsi="Arial" w:cs="Arial"/>
          <w:color w:val="212121"/>
          <w:shd w:val="clear" w:color="auto" w:fill="FFFFFF"/>
        </w:rPr>
        <w:t>In reality it</w:t>
      </w:r>
      <w:proofErr w:type="gramEnd"/>
      <w:r w:rsidRPr="00F90410">
        <w:rPr>
          <w:rFonts w:ascii="Arial" w:eastAsia="Calibri" w:hAnsi="Arial" w:cs="Arial"/>
          <w:color w:val="212121"/>
          <w:shd w:val="clear" w:color="auto" w:fill="FFFFFF"/>
        </w:rPr>
        <w:t xml:space="preserve"> is very complex and difficult for hospitals and other providers to offer an accurate price estimate to patients. Ultimately, insurers know much more than hospitals about how much the patient will have to pay because they have access to all negotiated rates, co-pays, and how much has been spent towards deductibles. The insurers need to be a major part of the final plan.</w:t>
      </w:r>
    </w:p>
    <w:p w14:paraId="1DBB4784" w14:textId="77777777" w:rsidR="00F90410" w:rsidRPr="00F90410" w:rsidRDefault="00F90410" w:rsidP="00F90410">
      <w:pPr>
        <w:numPr>
          <w:ilvl w:val="0"/>
          <w:numId w:val="3"/>
        </w:numPr>
        <w:spacing w:after="0" w:line="240" w:lineRule="auto"/>
        <w:contextualSpacing/>
        <w:rPr>
          <w:rFonts w:ascii="Arial" w:eastAsia="Calibri" w:hAnsi="Arial" w:cs="Arial"/>
          <w:color w:val="212121"/>
          <w:shd w:val="clear" w:color="auto" w:fill="FFFFFF"/>
        </w:rPr>
      </w:pPr>
      <w:r w:rsidRPr="00F90410">
        <w:rPr>
          <w:rFonts w:ascii="Arial" w:eastAsia="Calibri" w:hAnsi="Arial" w:cs="Arial"/>
          <w:color w:val="212121"/>
          <w:shd w:val="clear" w:color="auto" w:fill="FFFFFF"/>
        </w:rPr>
        <w:t xml:space="preserve">Meeting the new requirements is a significant investment in time and money for hospitals. This is especially problematic in the midst of a global pandemic that has affected every aspect of hospital </w:t>
      </w:r>
      <w:proofErr w:type="gramStart"/>
      <w:r w:rsidRPr="00F90410">
        <w:rPr>
          <w:rFonts w:ascii="Arial" w:eastAsia="Calibri" w:hAnsi="Arial" w:cs="Arial"/>
          <w:color w:val="212121"/>
          <w:shd w:val="clear" w:color="auto" w:fill="FFFFFF"/>
        </w:rPr>
        <w:t>operations</w:t>
      </w:r>
      <w:proofErr w:type="gramEnd"/>
      <w:r w:rsidRPr="00F90410">
        <w:rPr>
          <w:rFonts w:ascii="Arial" w:eastAsia="Calibri" w:hAnsi="Arial" w:cs="Arial"/>
          <w:color w:val="212121"/>
          <w:shd w:val="clear" w:color="auto" w:fill="FFFFFF"/>
        </w:rPr>
        <w:t xml:space="preserve">. </w:t>
      </w:r>
    </w:p>
    <w:p w14:paraId="34B35664" w14:textId="77777777" w:rsidR="00F90410" w:rsidRPr="00F90410" w:rsidRDefault="00F90410" w:rsidP="00F90410">
      <w:pPr>
        <w:numPr>
          <w:ilvl w:val="0"/>
          <w:numId w:val="3"/>
        </w:numPr>
        <w:spacing w:after="0" w:line="240" w:lineRule="auto"/>
        <w:contextualSpacing/>
        <w:rPr>
          <w:rFonts w:ascii="Arial" w:eastAsia="Calibri" w:hAnsi="Arial" w:cs="Arial"/>
          <w:color w:val="212121"/>
          <w:shd w:val="clear" w:color="auto" w:fill="FFFFFF"/>
        </w:rPr>
      </w:pPr>
      <w:r w:rsidRPr="00F90410">
        <w:rPr>
          <w:rFonts w:ascii="Arial" w:eastAsia="Calibri" w:hAnsi="Arial" w:cs="Arial"/>
          <w:color w:val="212121"/>
          <w:shd w:val="clear" w:color="auto" w:fill="FFFFFF"/>
        </w:rPr>
        <w:t>Publishing these prices and allowing them to be scrutinized essentially means that insurance companies have new leverage over providers because they can see what other insurers are paying. </w:t>
      </w:r>
    </w:p>
    <w:p w14:paraId="5F060016" w14:textId="77777777" w:rsidR="00F90410" w:rsidRPr="00F90410" w:rsidRDefault="00F90410" w:rsidP="00F90410">
      <w:pPr>
        <w:spacing w:after="0" w:line="240" w:lineRule="auto"/>
        <w:rPr>
          <w:rFonts w:ascii="Arial" w:eastAsia="Calibri" w:hAnsi="Arial" w:cs="Arial"/>
          <w:color w:val="212121"/>
          <w:shd w:val="clear" w:color="auto" w:fill="FFFFFF"/>
        </w:rPr>
      </w:pPr>
    </w:p>
    <w:p w14:paraId="043E29F5" w14:textId="77777777" w:rsidR="00F90410" w:rsidRPr="00F90410" w:rsidRDefault="00F90410" w:rsidP="00F90410">
      <w:pPr>
        <w:spacing w:after="0" w:line="240" w:lineRule="auto"/>
        <w:rPr>
          <w:rFonts w:ascii="Arial" w:eastAsia="Calibri" w:hAnsi="Arial" w:cs="Arial"/>
          <w:b/>
          <w:bCs/>
          <w:color w:val="212121"/>
          <w:shd w:val="clear" w:color="auto" w:fill="FFFFFF"/>
        </w:rPr>
      </w:pPr>
      <w:r w:rsidRPr="00F90410">
        <w:rPr>
          <w:rFonts w:ascii="Arial" w:eastAsia="Calibri" w:hAnsi="Arial" w:cs="Arial"/>
          <w:b/>
          <w:bCs/>
          <w:color w:val="212121"/>
          <w:shd w:val="clear" w:color="auto" w:fill="FFFFFF"/>
        </w:rPr>
        <w:t xml:space="preserve">Key provisions for hospitals in the final price transparency rule, required as of 1/1/2021 </w:t>
      </w:r>
    </w:p>
    <w:p w14:paraId="5FDC46F0" w14:textId="77777777" w:rsidR="00F90410" w:rsidRPr="00F90410" w:rsidRDefault="00F90410" w:rsidP="00F90410">
      <w:pPr>
        <w:numPr>
          <w:ilvl w:val="0"/>
          <w:numId w:val="2"/>
        </w:numPr>
        <w:spacing w:after="0" w:line="240" w:lineRule="auto"/>
        <w:rPr>
          <w:rFonts w:ascii="Arial" w:eastAsia="Calibri" w:hAnsi="Arial" w:cs="Arial"/>
          <w:color w:val="212121"/>
          <w:shd w:val="clear" w:color="auto" w:fill="FFFFFF"/>
        </w:rPr>
      </w:pPr>
      <w:r w:rsidRPr="00F90410">
        <w:rPr>
          <w:rFonts w:ascii="Arial" w:eastAsia="Calibri" w:hAnsi="Arial" w:cs="Arial"/>
          <w:color w:val="212121"/>
          <w:shd w:val="clear" w:color="auto" w:fill="FFFFFF"/>
        </w:rPr>
        <w:t xml:space="preserve">The rule expands hospital charge display requirements to include charges and information based on negotiated rates and for “shoppable” items and services. </w:t>
      </w:r>
    </w:p>
    <w:p w14:paraId="209A421A" w14:textId="77777777" w:rsidR="00F90410" w:rsidRPr="00F90410" w:rsidRDefault="00F90410" w:rsidP="00F90410">
      <w:pPr>
        <w:numPr>
          <w:ilvl w:val="0"/>
          <w:numId w:val="2"/>
        </w:numPr>
        <w:spacing w:after="0" w:line="240" w:lineRule="auto"/>
        <w:rPr>
          <w:rFonts w:ascii="Arial" w:eastAsia="Calibri" w:hAnsi="Arial" w:cs="Arial"/>
          <w:color w:val="212121"/>
          <w:shd w:val="clear" w:color="auto" w:fill="FFFFFF"/>
        </w:rPr>
      </w:pPr>
      <w:r w:rsidRPr="00F90410">
        <w:rPr>
          <w:rFonts w:ascii="Arial" w:eastAsia="Calibri" w:hAnsi="Arial" w:cs="Arial"/>
          <w:color w:val="212121"/>
          <w:shd w:val="clear" w:color="auto" w:fill="FFFFFF"/>
        </w:rPr>
        <w:t>It seeks to establish a mechanism for monitoring and applying penalties for noncompliance – violations could be reported by general public and employees.</w:t>
      </w:r>
    </w:p>
    <w:p w14:paraId="58E69BE9" w14:textId="77777777" w:rsidR="00F90410" w:rsidRPr="00F90410" w:rsidRDefault="00F90410" w:rsidP="00F90410">
      <w:pPr>
        <w:numPr>
          <w:ilvl w:val="0"/>
          <w:numId w:val="2"/>
        </w:numPr>
        <w:spacing w:after="0" w:line="240" w:lineRule="auto"/>
        <w:rPr>
          <w:rFonts w:ascii="Arial" w:eastAsia="Calibri" w:hAnsi="Arial" w:cs="Arial"/>
          <w:color w:val="212121"/>
          <w:shd w:val="clear" w:color="auto" w:fill="FFFFFF"/>
        </w:rPr>
      </w:pPr>
      <w:r w:rsidRPr="00F90410">
        <w:rPr>
          <w:rFonts w:ascii="Arial" w:eastAsia="Calibri" w:hAnsi="Arial" w:cs="Arial"/>
          <w:color w:val="212121"/>
          <w:shd w:val="clear" w:color="auto" w:fill="FFFFFF"/>
        </w:rPr>
        <w:t xml:space="preserve">Hospitals are required to publicly display “standard charges” as well as the rates for shoppable items and services. </w:t>
      </w:r>
    </w:p>
    <w:p w14:paraId="21F829E4" w14:textId="77777777" w:rsidR="00F90410" w:rsidRPr="00F90410" w:rsidRDefault="00F90410" w:rsidP="00F90410">
      <w:pPr>
        <w:spacing w:after="0" w:line="240" w:lineRule="auto"/>
        <w:rPr>
          <w:rFonts w:ascii="Arial" w:eastAsia="Calibri" w:hAnsi="Arial" w:cs="Arial"/>
          <w:color w:val="212121"/>
          <w:shd w:val="clear" w:color="auto" w:fill="FFFFFF"/>
        </w:rPr>
      </w:pPr>
    </w:p>
    <w:p w14:paraId="486BC70D" w14:textId="77777777" w:rsidR="00F90410" w:rsidRPr="00F90410" w:rsidRDefault="00F90410" w:rsidP="00F90410">
      <w:pPr>
        <w:spacing w:after="0" w:line="240" w:lineRule="auto"/>
        <w:rPr>
          <w:rFonts w:ascii="Arial" w:eastAsia="Calibri" w:hAnsi="Arial" w:cs="Arial"/>
          <w:b/>
          <w:bCs/>
          <w:color w:val="212121"/>
          <w:shd w:val="clear" w:color="auto" w:fill="FFFFFF"/>
        </w:rPr>
      </w:pPr>
      <w:r w:rsidRPr="00F90410">
        <w:rPr>
          <w:rFonts w:ascii="Arial" w:eastAsia="Calibri" w:hAnsi="Arial" w:cs="Arial"/>
          <w:b/>
          <w:bCs/>
          <w:color w:val="212121"/>
          <w:shd w:val="clear" w:color="auto" w:fill="FFFFFF"/>
        </w:rPr>
        <w:t>Background</w:t>
      </w:r>
    </w:p>
    <w:p w14:paraId="69C0128A" w14:textId="77777777" w:rsidR="00F90410" w:rsidRPr="00F90410" w:rsidRDefault="00F90410" w:rsidP="00F90410">
      <w:pPr>
        <w:spacing w:after="0" w:line="240" w:lineRule="auto"/>
        <w:rPr>
          <w:rFonts w:ascii="Arial" w:eastAsia="Calibri" w:hAnsi="Arial" w:cs="Arial"/>
        </w:rPr>
      </w:pPr>
      <w:r w:rsidRPr="00F90410">
        <w:rPr>
          <w:rFonts w:ascii="Arial" w:eastAsia="Calibri" w:hAnsi="Arial" w:cs="Arial"/>
          <w:color w:val="212121"/>
          <w:shd w:val="clear" w:color="auto" w:fill="FFFFFF"/>
        </w:rPr>
        <w:t>Price transparency had circulated in public discussions for over a decade prior to passage of the Affordable Care Act, but while the goal was clear the appropriate steps to reach such a goal were not. To provide meaningful price transparency involves helping patients and consumers better understand their financial obligation for an episode of care, and as a strategy for healthcare providers to reflect their costs. </w:t>
      </w:r>
    </w:p>
    <w:p w14:paraId="089429A7" w14:textId="77777777" w:rsidR="00F90410" w:rsidRPr="00F90410" w:rsidRDefault="00F90410" w:rsidP="00F90410">
      <w:pPr>
        <w:spacing w:after="0" w:line="240" w:lineRule="auto"/>
        <w:rPr>
          <w:rFonts w:ascii="Arial" w:eastAsia="Calibri" w:hAnsi="Arial" w:cs="Arial"/>
        </w:rPr>
      </w:pPr>
    </w:p>
    <w:p w14:paraId="370EA643" w14:textId="77777777" w:rsidR="00F90410" w:rsidRPr="00F90410" w:rsidRDefault="00F90410" w:rsidP="00F90410">
      <w:pPr>
        <w:numPr>
          <w:ilvl w:val="0"/>
          <w:numId w:val="1"/>
        </w:numPr>
        <w:spacing w:after="0" w:line="240" w:lineRule="auto"/>
        <w:contextualSpacing/>
        <w:rPr>
          <w:rFonts w:ascii="Arial" w:eastAsia="Calibri" w:hAnsi="Arial" w:cs="Arial"/>
        </w:rPr>
      </w:pPr>
      <w:r w:rsidRPr="00F90410">
        <w:rPr>
          <w:rFonts w:ascii="Arial" w:eastAsia="Calibri" w:hAnsi="Arial" w:cs="Arial"/>
          <w:b/>
          <w:bCs/>
        </w:rPr>
        <w:t>March 2010 -</w:t>
      </w:r>
      <w:r w:rsidRPr="00F90410">
        <w:rPr>
          <w:rFonts w:ascii="Arial" w:eastAsia="Calibri" w:hAnsi="Arial" w:cs="Arial"/>
        </w:rPr>
        <w:t xml:space="preserve"> The Affordable Care Act, Section 2718 (e) required rulemaking on price transparency</w:t>
      </w:r>
    </w:p>
    <w:p w14:paraId="480D33D4" w14:textId="77777777" w:rsidR="00F90410" w:rsidRPr="00F90410" w:rsidRDefault="00F90410" w:rsidP="00F90410">
      <w:pPr>
        <w:numPr>
          <w:ilvl w:val="0"/>
          <w:numId w:val="1"/>
        </w:numPr>
        <w:spacing w:after="0" w:line="240" w:lineRule="auto"/>
        <w:contextualSpacing/>
        <w:rPr>
          <w:rFonts w:ascii="Arial" w:eastAsia="Calibri" w:hAnsi="Arial" w:cs="Arial"/>
        </w:rPr>
      </w:pPr>
      <w:r w:rsidRPr="00F90410">
        <w:rPr>
          <w:rFonts w:ascii="Arial" w:eastAsia="Calibri" w:hAnsi="Arial" w:cs="Arial"/>
          <w:b/>
          <w:bCs/>
        </w:rPr>
        <w:t>January 1, 2019 -</w:t>
      </w:r>
      <w:r w:rsidRPr="00F90410">
        <w:rPr>
          <w:rFonts w:ascii="Arial" w:eastAsia="Calibri" w:hAnsi="Arial" w:cs="Arial"/>
        </w:rPr>
        <w:t xml:space="preserve"> Medicare CY2019 rule required hospitals to publicly post their chargemaster </w:t>
      </w:r>
    </w:p>
    <w:p w14:paraId="3D8A1D8A" w14:textId="77777777" w:rsidR="00F90410" w:rsidRPr="00F90410" w:rsidRDefault="00F90410" w:rsidP="00F90410">
      <w:pPr>
        <w:numPr>
          <w:ilvl w:val="0"/>
          <w:numId w:val="1"/>
        </w:numPr>
        <w:spacing w:after="0" w:line="240" w:lineRule="auto"/>
        <w:contextualSpacing/>
        <w:rPr>
          <w:rFonts w:ascii="Arial" w:eastAsia="Calibri" w:hAnsi="Arial" w:cs="Arial"/>
        </w:rPr>
      </w:pPr>
      <w:r w:rsidRPr="00F90410">
        <w:rPr>
          <w:rFonts w:ascii="Arial" w:eastAsia="Calibri" w:hAnsi="Arial" w:cs="Arial"/>
          <w:b/>
          <w:bCs/>
        </w:rPr>
        <w:t>June 2019 -</w:t>
      </w:r>
      <w:r w:rsidRPr="00F90410">
        <w:rPr>
          <w:rFonts w:ascii="Arial" w:eastAsia="Calibri" w:hAnsi="Arial" w:cs="Arial"/>
        </w:rPr>
        <w:t xml:space="preserve"> President Trump released his Executive Order requiring the posting of negotiated rates between providers and payors. The requirements for providers were released in a separate rule from those for the insurers, but both stakeholder groups strongly opposed the requirements, and both sought to block through litigation. </w:t>
      </w:r>
    </w:p>
    <w:p w14:paraId="769C0295" w14:textId="77777777" w:rsidR="00F90410" w:rsidRPr="00F90410" w:rsidRDefault="00F90410" w:rsidP="00F90410">
      <w:pPr>
        <w:numPr>
          <w:ilvl w:val="0"/>
          <w:numId w:val="1"/>
        </w:numPr>
        <w:spacing w:after="0" w:line="240" w:lineRule="auto"/>
        <w:contextualSpacing/>
        <w:rPr>
          <w:rFonts w:ascii="Arial" w:eastAsia="Calibri" w:hAnsi="Arial" w:cs="Arial"/>
        </w:rPr>
      </w:pPr>
      <w:r w:rsidRPr="00F90410">
        <w:rPr>
          <w:rFonts w:ascii="Arial" w:eastAsia="Calibri" w:hAnsi="Arial" w:cs="Arial"/>
          <w:b/>
          <w:bCs/>
        </w:rPr>
        <w:lastRenderedPageBreak/>
        <w:t>July 2019 -</w:t>
      </w:r>
      <w:r w:rsidRPr="00F90410">
        <w:rPr>
          <w:rFonts w:ascii="Arial" w:eastAsia="Calibri" w:hAnsi="Arial" w:cs="Arial"/>
        </w:rPr>
        <w:t xml:space="preserve"> Medicare CY2020 OPPS proposed rule would expand the hospital charge data display requirements to include information on negotiated rates and “shoppable” items and services.</w:t>
      </w:r>
    </w:p>
    <w:p w14:paraId="5A1C0AF5" w14:textId="77777777" w:rsidR="00F90410" w:rsidRPr="00F90410" w:rsidRDefault="00F90410" w:rsidP="00F90410">
      <w:pPr>
        <w:numPr>
          <w:ilvl w:val="0"/>
          <w:numId w:val="1"/>
        </w:numPr>
        <w:spacing w:after="0" w:line="240" w:lineRule="auto"/>
        <w:contextualSpacing/>
        <w:rPr>
          <w:rFonts w:ascii="Arial" w:eastAsia="Calibri" w:hAnsi="Arial" w:cs="Arial"/>
        </w:rPr>
      </w:pPr>
      <w:r w:rsidRPr="00F90410">
        <w:rPr>
          <w:rFonts w:ascii="Arial" w:eastAsia="Calibri" w:hAnsi="Arial" w:cs="Arial"/>
          <w:b/>
          <w:bCs/>
        </w:rPr>
        <w:t>November 2019 -</w:t>
      </w:r>
      <w:r w:rsidRPr="00F90410">
        <w:rPr>
          <w:rFonts w:ascii="Arial" w:eastAsia="Calibri" w:hAnsi="Arial" w:cs="Arial"/>
        </w:rPr>
        <w:t xml:space="preserve"> CMS publishes final OPPS on price transparency</w:t>
      </w:r>
    </w:p>
    <w:p w14:paraId="00DD4A86" w14:textId="77777777" w:rsidR="00F90410" w:rsidRPr="00F90410" w:rsidRDefault="00F90410" w:rsidP="00F90410">
      <w:pPr>
        <w:numPr>
          <w:ilvl w:val="0"/>
          <w:numId w:val="1"/>
        </w:numPr>
        <w:spacing w:after="0" w:line="240" w:lineRule="auto"/>
        <w:contextualSpacing/>
        <w:rPr>
          <w:rFonts w:ascii="Arial" w:eastAsia="Calibri" w:hAnsi="Arial" w:cs="Arial"/>
        </w:rPr>
      </w:pPr>
      <w:r w:rsidRPr="00F90410">
        <w:rPr>
          <w:rFonts w:ascii="Arial" w:eastAsia="Calibri" w:hAnsi="Arial" w:cs="Arial"/>
          <w:b/>
          <w:bCs/>
        </w:rPr>
        <w:t>December 4, 2019 -</w:t>
      </w:r>
      <w:r w:rsidRPr="00F90410">
        <w:rPr>
          <w:rFonts w:ascii="Arial" w:eastAsia="Calibri" w:hAnsi="Arial" w:cs="Arial"/>
        </w:rPr>
        <w:t xml:space="preserve"> AHA, AAMC, Federal of American Hospitals, the Children’s Hospital Assn, and 3 health systems filed lawsuit to block the rule set to take effect on January 2, 2021</w:t>
      </w:r>
    </w:p>
    <w:p w14:paraId="4480B146" w14:textId="77777777" w:rsidR="00F90410" w:rsidRPr="00F90410" w:rsidRDefault="00F90410" w:rsidP="00F90410">
      <w:pPr>
        <w:numPr>
          <w:ilvl w:val="0"/>
          <w:numId w:val="1"/>
        </w:numPr>
        <w:spacing w:after="0" w:line="240" w:lineRule="auto"/>
        <w:contextualSpacing/>
        <w:rPr>
          <w:rFonts w:ascii="Arial" w:eastAsia="Calibri" w:hAnsi="Arial" w:cs="Arial"/>
        </w:rPr>
      </w:pPr>
      <w:r w:rsidRPr="00F90410">
        <w:rPr>
          <w:rFonts w:ascii="Arial" w:eastAsia="Calibri" w:hAnsi="Arial" w:cs="Arial"/>
          <w:b/>
          <w:bCs/>
        </w:rPr>
        <w:t>May 2020 -</w:t>
      </w:r>
      <w:r w:rsidRPr="00F90410">
        <w:rPr>
          <w:rFonts w:ascii="Arial" w:eastAsia="Calibri" w:hAnsi="Arial" w:cs="Arial"/>
        </w:rPr>
        <w:t xml:space="preserve"> Despite pending litigation, CMS released its CY2021 proposed IPPS rule containing requirements to require hospitals to release pricing information for the next year, including private payor reimbursement rates. It requires hospitals to report on their cost reports the median payor-specific negotiated rates for inpatient services for Medicare Advantage and 3</w:t>
      </w:r>
      <w:r w:rsidRPr="00F90410">
        <w:rPr>
          <w:rFonts w:ascii="Arial" w:eastAsia="Calibri" w:hAnsi="Arial" w:cs="Arial"/>
          <w:vertAlign w:val="superscript"/>
        </w:rPr>
        <w:t>rd</w:t>
      </w:r>
      <w:r w:rsidRPr="00F90410">
        <w:rPr>
          <w:rFonts w:ascii="Arial" w:eastAsia="Calibri" w:hAnsi="Arial" w:cs="Arial"/>
        </w:rPr>
        <w:t xml:space="preserve"> party payers. According to the rule this would be in effect for cost reporting periods ending January 2, 2021 or after.</w:t>
      </w:r>
    </w:p>
    <w:p w14:paraId="181DA5EC" w14:textId="77777777" w:rsidR="00F90410" w:rsidRPr="00F90410" w:rsidRDefault="00F90410" w:rsidP="00F90410">
      <w:pPr>
        <w:numPr>
          <w:ilvl w:val="0"/>
          <w:numId w:val="1"/>
        </w:numPr>
        <w:spacing w:after="0" w:line="240" w:lineRule="auto"/>
        <w:contextualSpacing/>
        <w:rPr>
          <w:rFonts w:ascii="Arial" w:eastAsia="Calibri" w:hAnsi="Arial" w:cs="Arial"/>
        </w:rPr>
      </w:pPr>
      <w:r w:rsidRPr="00F90410">
        <w:rPr>
          <w:rFonts w:ascii="Arial" w:eastAsia="Calibri" w:hAnsi="Arial" w:cs="Arial"/>
          <w:b/>
          <w:bCs/>
        </w:rPr>
        <w:t>June 2020</w:t>
      </w:r>
      <w:r w:rsidRPr="00F90410">
        <w:rPr>
          <w:rFonts w:ascii="Arial" w:eastAsia="Calibri" w:hAnsi="Arial" w:cs="Arial"/>
        </w:rPr>
        <w:t xml:space="preserve"> - Federal judge rejects the AHA/coalition lawsuit, upholding the price transparency rule</w:t>
      </w:r>
    </w:p>
    <w:p w14:paraId="4473055B" w14:textId="77777777" w:rsidR="00F90410" w:rsidRPr="00F90410" w:rsidRDefault="00F90410" w:rsidP="00F90410">
      <w:pPr>
        <w:numPr>
          <w:ilvl w:val="0"/>
          <w:numId w:val="1"/>
        </w:numPr>
        <w:spacing w:after="0" w:line="240" w:lineRule="auto"/>
        <w:contextualSpacing/>
        <w:rPr>
          <w:rFonts w:ascii="Arial" w:eastAsia="Calibri" w:hAnsi="Arial" w:cs="Arial"/>
        </w:rPr>
      </w:pPr>
      <w:r w:rsidRPr="00F90410">
        <w:rPr>
          <w:rFonts w:ascii="Arial" w:eastAsia="Calibri" w:hAnsi="Arial" w:cs="Arial"/>
          <w:b/>
          <w:bCs/>
        </w:rPr>
        <w:t xml:space="preserve">July 2020 </w:t>
      </w:r>
      <w:r w:rsidRPr="00F90410">
        <w:rPr>
          <w:rFonts w:ascii="Arial" w:eastAsia="Calibri" w:hAnsi="Arial" w:cs="Arial"/>
        </w:rPr>
        <w:t>– AHA urged federal appeals court to overturn HHS rule</w:t>
      </w:r>
    </w:p>
    <w:p w14:paraId="0BA15DDC" w14:textId="77777777" w:rsidR="00F90410" w:rsidRPr="00F90410" w:rsidRDefault="00F90410" w:rsidP="00F90410">
      <w:pPr>
        <w:numPr>
          <w:ilvl w:val="0"/>
          <w:numId w:val="1"/>
        </w:numPr>
        <w:spacing w:after="0" w:line="240" w:lineRule="auto"/>
        <w:contextualSpacing/>
        <w:rPr>
          <w:rFonts w:ascii="Arial" w:eastAsia="Calibri" w:hAnsi="Arial" w:cs="Arial"/>
        </w:rPr>
      </w:pPr>
      <w:r w:rsidRPr="00F90410">
        <w:rPr>
          <w:rFonts w:ascii="Arial" w:eastAsia="Calibri" w:hAnsi="Arial" w:cs="Arial"/>
          <w:b/>
          <w:bCs/>
        </w:rPr>
        <w:t xml:space="preserve">October 2020 </w:t>
      </w:r>
      <w:r w:rsidRPr="00F90410">
        <w:rPr>
          <w:rFonts w:ascii="Arial" w:eastAsia="Calibri" w:hAnsi="Arial" w:cs="Arial"/>
        </w:rPr>
        <w:t>– Appeals court sides again with HHS, upholding the rule.</w:t>
      </w:r>
    </w:p>
    <w:p w14:paraId="489A86AE" w14:textId="77777777" w:rsidR="00F90410" w:rsidRPr="00F90410" w:rsidRDefault="00F90410" w:rsidP="00F90410">
      <w:pPr>
        <w:numPr>
          <w:ilvl w:val="0"/>
          <w:numId w:val="1"/>
        </w:numPr>
        <w:spacing w:after="0" w:line="240" w:lineRule="auto"/>
        <w:contextualSpacing/>
        <w:rPr>
          <w:rFonts w:ascii="Arial" w:eastAsia="Calibri" w:hAnsi="Arial" w:cs="Arial"/>
        </w:rPr>
      </w:pPr>
      <w:r w:rsidRPr="00F90410">
        <w:rPr>
          <w:rFonts w:ascii="Arial" w:eastAsia="Calibri" w:hAnsi="Arial" w:cs="Arial"/>
          <w:b/>
          <w:bCs/>
        </w:rPr>
        <w:t xml:space="preserve">October 2020 </w:t>
      </w:r>
      <w:r w:rsidRPr="00F90410">
        <w:rPr>
          <w:rFonts w:ascii="Arial" w:eastAsia="Calibri" w:hAnsi="Arial" w:cs="Arial"/>
        </w:rPr>
        <w:t xml:space="preserve">– CMS releases the </w:t>
      </w:r>
      <w:hyperlink r:id="rId9" w:history="1">
        <w:r w:rsidRPr="00F90410">
          <w:rPr>
            <w:rFonts w:ascii="Arial" w:eastAsia="Calibri" w:hAnsi="Arial" w:cs="Arial"/>
            <w:color w:val="0000FF"/>
            <w:u w:val="single"/>
          </w:rPr>
          <w:t>Insurance Transparency Final Rule</w:t>
        </w:r>
      </w:hyperlink>
      <w:r w:rsidRPr="00F90410">
        <w:rPr>
          <w:rFonts w:ascii="Arial" w:eastAsia="Calibri" w:hAnsi="Arial" w:cs="Arial"/>
        </w:rPr>
        <w:t>. The rule requires health plans to tell their customers upon request what they will owe in copays or co-insurance before they go to the hospital. Insurers would also have to publish these costs online or tell patients directly if asked, potentially enabling patients to shop to find the most affordable hospital or doctor.</w:t>
      </w:r>
    </w:p>
    <w:p w14:paraId="6B2D9F2B" w14:textId="77777777" w:rsidR="00F90410" w:rsidRPr="00F90410" w:rsidRDefault="00F90410" w:rsidP="00F90410">
      <w:pPr>
        <w:numPr>
          <w:ilvl w:val="0"/>
          <w:numId w:val="1"/>
        </w:numPr>
        <w:spacing w:after="0" w:line="240" w:lineRule="auto"/>
        <w:contextualSpacing/>
        <w:rPr>
          <w:rFonts w:ascii="Arial" w:eastAsia="Calibri" w:hAnsi="Arial" w:cs="Arial"/>
        </w:rPr>
      </w:pPr>
      <w:r w:rsidRPr="00F90410">
        <w:rPr>
          <w:rFonts w:ascii="Arial" w:eastAsia="Calibri" w:hAnsi="Arial" w:cs="Arial"/>
          <w:b/>
          <w:bCs/>
        </w:rPr>
        <w:t xml:space="preserve">January 2021 </w:t>
      </w:r>
      <w:r w:rsidRPr="00F90410">
        <w:rPr>
          <w:rFonts w:ascii="Arial" w:eastAsia="Calibri" w:hAnsi="Arial" w:cs="Arial"/>
        </w:rPr>
        <w:t>– New hospital rule set to go into effect</w:t>
      </w:r>
    </w:p>
    <w:p w14:paraId="0903C812" w14:textId="77777777" w:rsidR="00407E05" w:rsidRDefault="00F90410">
      <w:bookmarkStart w:id="0" w:name="_GoBack"/>
      <w:bookmarkEnd w:id="0"/>
    </w:p>
    <w:sectPr w:rsidR="00407E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835E0E"/>
    <w:multiLevelType w:val="hybridMultilevel"/>
    <w:tmpl w:val="2F5A0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542BBE"/>
    <w:multiLevelType w:val="hybridMultilevel"/>
    <w:tmpl w:val="BBD2D8E6"/>
    <w:lvl w:ilvl="0" w:tplc="82068E2A">
      <w:start w:val="1"/>
      <w:numFmt w:val="bullet"/>
      <w:lvlText w:val=""/>
      <w:lvlJc w:val="left"/>
      <w:pPr>
        <w:ind w:left="720" w:hanging="360"/>
      </w:pPr>
      <w:rPr>
        <w:rFonts w:ascii="Symbol" w:hAnsi="Symbol" w:hint="default"/>
      </w:rPr>
    </w:lvl>
    <w:lvl w:ilvl="1" w:tplc="76540EE2" w:tentative="1">
      <w:start w:val="1"/>
      <w:numFmt w:val="bullet"/>
      <w:lvlText w:val="o"/>
      <w:lvlJc w:val="left"/>
      <w:pPr>
        <w:ind w:left="1440" w:hanging="360"/>
      </w:pPr>
      <w:rPr>
        <w:rFonts w:ascii="Courier New" w:hAnsi="Courier New" w:cs="Courier New" w:hint="default"/>
      </w:rPr>
    </w:lvl>
    <w:lvl w:ilvl="2" w:tplc="36582D90" w:tentative="1">
      <w:start w:val="1"/>
      <w:numFmt w:val="bullet"/>
      <w:lvlText w:val=""/>
      <w:lvlJc w:val="left"/>
      <w:pPr>
        <w:ind w:left="2160" w:hanging="360"/>
      </w:pPr>
      <w:rPr>
        <w:rFonts w:ascii="Wingdings" w:hAnsi="Wingdings" w:hint="default"/>
      </w:rPr>
    </w:lvl>
    <w:lvl w:ilvl="3" w:tplc="3544E718" w:tentative="1">
      <w:start w:val="1"/>
      <w:numFmt w:val="bullet"/>
      <w:lvlText w:val=""/>
      <w:lvlJc w:val="left"/>
      <w:pPr>
        <w:ind w:left="2880" w:hanging="360"/>
      </w:pPr>
      <w:rPr>
        <w:rFonts w:ascii="Symbol" w:hAnsi="Symbol" w:hint="default"/>
      </w:rPr>
    </w:lvl>
    <w:lvl w:ilvl="4" w:tplc="4320746C" w:tentative="1">
      <w:start w:val="1"/>
      <w:numFmt w:val="bullet"/>
      <w:lvlText w:val="o"/>
      <w:lvlJc w:val="left"/>
      <w:pPr>
        <w:ind w:left="3600" w:hanging="360"/>
      </w:pPr>
      <w:rPr>
        <w:rFonts w:ascii="Courier New" w:hAnsi="Courier New" w:cs="Courier New" w:hint="default"/>
      </w:rPr>
    </w:lvl>
    <w:lvl w:ilvl="5" w:tplc="CC429270" w:tentative="1">
      <w:start w:val="1"/>
      <w:numFmt w:val="bullet"/>
      <w:lvlText w:val=""/>
      <w:lvlJc w:val="left"/>
      <w:pPr>
        <w:ind w:left="4320" w:hanging="360"/>
      </w:pPr>
      <w:rPr>
        <w:rFonts w:ascii="Wingdings" w:hAnsi="Wingdings" w:hint="default"/>
      </w:rPr>
    </w:lvl>
    <w:lvl w:ilvl="6" w:tplc="5822755A" w:tentative="1">
      <w:start w:val="1"/>
      <w:numFmt w:val="bullet"/>
      <w:lvlText w:val=""/>
      <w:lvlJc w:val="left"/>
      <w:pPr>
        <w:ind w:left="5040" w:hanging="360"/>
      </w:pPr>
      <w:rPr>
        <w:rFonts w:ascii="Symbol" w:hAnsi="Symbol" w:hint="default"/>
      </w:rPr>
    </w:lvl>
    <w:lvl w:ilvl="7" w:tplc="5830A424" w:tentative="1">
      <w:start w:val="1"/>
      <w:numFmt w:val="bullet"/>
      <w:lvlText w:val="o"/>
      <w:lvlJc w:val="left"/>
      <w:pPr>
        <w:ind w:left="5760" w:hanging="360"/>
      </w:pPr>
      <w:rPr>
        <w:rFonts w:ascii="Courier New" w:hAnsi="Courier New" w:cs="Courier New" w:hint="default"/>
      </w:rPr>
    </w:lvl>
    <w:lvl w:ilvl="8" w:tplc="8FB6E07A" w:tentative="1">
      <w:start w:val="1"/>
      <w:numFmt w:val="bullet"/>
      <w:lvlText w:val=""/>
      <w:lvlJc w:val="left"/>
      <w:pPr>
        <w:ind w:left="6480" w:hanging="360"/>
      </w:pPr>
      <w:rPr>
        <w:rFonts w:ascii="Wingdings" w:hAnsi="Wingdings" w:hint="default"/>
      </w:rPr>
    </w:lvl>
  </w:abstractNum>
  <w:abstractNum w:abstractNumId="2" w15:restartNumberingAfterBreak="0">
    <w:nsid w:val="7E5423B7"/>
    <w:multiLevelType w:val="hybridMultilevel"/>
    <w:tmpl w:val="B29A5A74"/>
    <w:lvl w:ilvl="0" w:tplc="221CD78E">
      <w:start w:val="1"/>
      <w:numFmt w:val="bullet"/>
      <w:lvlText w:val=""/>
      <w:lvlJc w:val="left"/>
      <w:pPr>
        <w:ind w:left="720" w:hanging="360"/>
      </w:pPr>
      <w:rPr>
        <w:rFonts w:ascii="Symbol" w:hAnsi="Symbol" w:hint="default"/>
      </w:rPr>
    </w:lvl>
    <w:lvl w:ilvl="1" w:tplc="ED7651F0" w:tentative="1">
      <w:start w:val="1"/>
      <w:numFmt w:val="bullet"/>
      <w:lvlText w:val="o"/>
      <w:lvlJc w:val="left"/>
      <w:pPr>
        <w:ind w:left="1440" w:hanging="360"/>
      </w:pPr>
      <w:rPr>
        <w:rFonts w:ascii="Courier New" w:hAnsi="Courier New" w:cs="Courier New" w:hint="default"/>
      </w:rPr>
    </w:lvl>
    <w:lvl w:ilvl="2" w:tplc="C658AA54" w:tentative="1">
      <w:start w:val="1"/>
      <w:numFmt w:val="bullet"/>
      <w:lvlText w:val=""/>
      <w:lvlJc w:val="left"/>
      <w:pPr>
        <w:ind w:left="2160" w:hanging="360"/>
      </w:pPr>
      <w:rPr>
        <w:rFonts w:ascii="Wingdings" w:hAnsi="Wingdings" w:hint="default"/>
      </w:rPr>
    </w:lvl>
    <w:lvl w:ilvl="3" w:tplc="CAD26A16" w:tentative="1">
      <w:start w:val="1"/>
      <w:numFmt w:val="bullet"/>
      <w:lvlText w:val=""/>
      <w:lvlJc w:val="left"/>
      <w:pPr>
        <w:ind w:left="2880" w:hanging="360"/>
      </w:pPr>
      <w:rPr>
        <w:rFonts w:ascii="Symbol" w:hAnsi="Symbol" w:hint="default"/>
      </w:rPr>
    </w:lvl>
    <w:lvl w:ilvl="4" w:tplc="4366F5B8" w:tentative="1">
      <w:start w:val="1"/>
      <w:numFmt w:val="bullet"/>
      <w:lvlText w:val="o"/>
      <w:lvlJc w:val="left"/>
      <w:pPr>
        <w:ind w:left="3600" w:hanging="360"/>
      </w:pPr>
      <w:rPr>
        <w:rFonts w:ascii="Courier New" w:hAnsi="Courier New" w:cs="Courier New" w:hint="default"/>
      </w:rPr>
    </w:lvl>
    <w:lvl w:ilvl="5" w:tplc="49802A9A" w:tentative="1">
      <w:start w:val="1"/>
      <w:numFmt w:val="bullet"/>
      <w:lvlText w:val=""/>
      <w:lvlJc w:val="left"/>
      <w:pPr>
        <w:ind w:left="4320" w:hanging="360"/>
      </w:pPr>
      <w:rPr>
        <w:rFonts w:ascii="Wingdings" w:hAnsi="Wingdings" w:hint="default"/>
      </w:rPr>
    </w:lvl>
    <w:lvl w:ilvl="6" w:tplc="DE8AE84A" w:tentative="1">
      <w:start w:val="1"/>
      <w:numFmt w:val="bullet"/>
      <w:lvlText w:val=""/>
      <w:lvlJc w:val="left"/>
      <w:pPr>
        <w:ind w:left="5040" w:hanging="360"/>
      </w:pPr>
      <w:rPr>
        <w:rFonts w:ascii="Symbol" w:hAnsi="Symbol" w:hint="default"/>
      </w:rPr>
    </w:lvl>
    <w:lvl w:ilvl="7" w:tplc="E8685EFA" w:tentative="1">
      <w:start w:val="1"/>
      <w:numFmt w:val="bullet"/>
      <w:lvlText w:val="o"/>
      <w:lvlJc w:val="left"/>
      <w:pPr>
        <w:ind w:left="5760" w:hanging="360"/>
      </w:pPr>
      <w:rPr>
        <w:rFonts w:ascii="Courier New" w:hAnsi="Courier New" w:cs="Courier New" w:hint="default"/>
      </w:rPr>
    </w:lvl>
    <w:lvl w:ilvl="8" w:tplc="0C242210"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90410"/>
    <w:rsid w:val="001874B6"/>
    <w:rsid w:val="005A7B44"/>
    <w:rsid w:val="006D1972"/>
    <w:rsid w:val="00F90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395DF"/>
  <w15:chartTrackingRefBased/>
  <w15:docId w15:val="{8FFAA093-39BB-4C49-8686-F00F19EE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ms.gov/newsroom/fact-sheets/transparency-coverage-final-rule-fact-sheet-cms-9915-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F0DA163A6EE142A3807A417A17EF81" ma:contentTypeVersion="13" ma:contentTypeDescription="Create a new document." ma:contentTypeScope="" ma:versionID="2dacfe10e709901155cd52e23a91847f">
  <xsd:schema xmlns:xsd="http://www.w3.org/2001/XMLSchema" xmlns:xs="http://www.w3.org/2001/XMLSchema" xmlns:p="http://schemas.microsoft.com/office/2006/metadata/properties" xmlns:ns3="b2e11e5c-8138-428a-ad62-72c071726a0d" xmlns:ns4="931d5d83-cc5b-4d23-9911-84fdde8be7f8" targetNamespace="http://schemas.microsoft.com/office/2006/metadata/properties" ma:root="true" ma:fieldsID="79a6a8c3c3325d4352a44f3e2b2be84e" ns3:_="" ns4:_="">
    <xsd:import namespace="b2e11e5c-8138-428a-ad62-72c071726a0d"/>
    <xsd:import namespace="931d5d83-cc5b-4d23-9911-84fdde8be7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11e5c-8138-428a-ad62-72c071726a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1d5d83-cc5b-4d23-9911-84fdde8be7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15E3B2-859C-4AE9-890C-FFB49E823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e11e5c-8138-428a-ad62-72c071726a0d"/>
    <ds:schemaRef ds:uri="931d5d83-cc5b-4d23-9911-84fdde8be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2F60E4-C4F3-43EE-9542-3E3DA3521A60}">
  <ds:schemaRefs>
    <ds:schemaRef ds:uri="http://schemas.microsoft.com/sharepoint/v3/contenttype/forms"/>
  </ds:schemaRefs>
</ds:datastoreItem>
</file>

<file path=customXml/itemProps3.xml><?xml version="1.0" encoding="utf-8"?>
<ds:datastoreItem xmlns:ds="http://schemas.openxmlformats.org/officeDocument/2006/customXml" ds:itemID="{7BDC81F5-7C25-4412-A3DB-A4A6278028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632</Words>
  <Characters>3608</Characters>
  <Application>Microsoft Office Word</Application>
  <DocSecurity>0</DocSecurity>
  <Lines>30</Lines>
  <Paragraphs>8</Paragraphs>
  <ScaleCrop>false</ScaleCrop>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Dietrich</dc:creator>
  <cp:keywords/>
  <dc:description/>
  <cp:lastModifiedBy>Mike Dietrich</cp:lastModifiedBy>
  <cp:revision>1</cp:revision>
  <dcterms:created xsi:type="dcterms:W3CDTF">2020-11-18T20:35:00Z</dcterms:created>
  <dcterms:modified xsi:type="dcterms:W3CDTF">2020-11-18T20:37:00Z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0x010100FBF0DA163A6EE142A3807A417A17EF81</vt:lpwstr>
  </property>
</Properties>
</file>